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Rountree George Manning</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1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02/27/2020</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803"/>
        <w:spacing w:after="0"/>
        <w:rPr>
          <w:sz w:val="20"/>
          <w:szCs w:val="20"/>
          <w:color w:val="auto"/>
        </w:rPr>
      </w:pPr>
      <w:r>
        <w:rPr>
          <w:rFonts w:ascii="Arial" w:cs="Arial" w:eastAsia="Arial" w:hAnsi="Arial"/>
          <w:sz w:val="18"/>
          <w:szCs w:val="18"/>
          <w:color w:val="0000FF"/>
        </w:rPr>
        <w:t>Chief Executive Officer</w:t>
      </w:r>
    </w:p>
    <w:p>
      <w:pPr>
        <w:spacing w:after="0" w:line="544" w:lineRule="exact"/>
        <w:rPr>
          <w:sz w:val="20"/>
          <w:szCs w:val="20"/>
          <w:color w:val="auto"/>
        </w:rPr>
      </w:pPr>
    </w:p>
    <w:p>
      <w:pPr>
        <w:sectPr>
          <w:pgSz w:w="11900" w:h="16838" w:orient="portrait"/>
          <w:cols w:equalWidth="0" w:num="3">
            <w:col w:w="3800" w:space="280"/>
            <w:col w:w="3320" w:space="657"/>
            <w:col w:w="3363"/>
          </w:cols>
          <w:pgMar w:left="240" w:top="226" w:right="239" w:bottom="1440" w:gutter="0" w:footer="0" w:header="0"/>
          <w:type w:val="continuous"/>
        </w:sectPr>
      </w:pPr>
    </w:p>
    <w:p>
      <w:pPr>
        <w:spacing w:after="0" w:line="31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55"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9"/>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02/27/2020</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rPr>
              <w:t>2,700</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2"/>
              <w:spacing w:after="0"/>
              <w:rPr>
                <w:sz w:val="20"/>
                <w:szCs w:val="20"/>
                <w:color w:val="auto"/>
              </w:rPr>
            </w:pPr>
            <w:r>
              <w:rPr>
                <w:rFonts w:ascii="Arial" w:cs="Arial" w:eastAsia="Arial" w:hAnsi="Arial"/>
                <w:sz w:val="18"/>
                <w:szCs w:val="18"/>
                <w:color w:val="0000FF"/>
                <w:w w:val="88"/>
              </w:rPr>
              <w:t>8,700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center"/>
              <w:ind w:right="312"/>
              <w:spacing w:after="0"/>
              <w:rPr>
                <w:sz w:val="20"/>
                <w:szCs w:val="20"/>
                <w:color w:val="auto"/>
              </w:rPr>
            </w:pPr>
            <w:r>
              <w:rPr>
                <w:rFonts w:ascii="Arial" w:cs="Arial" w:eastAsia="Arial" w:hAnsi="Arial"/>
                <w:sz w:val="18"/>
                <w:szCs w:val="18"/>
                <w:color w:val="0000FF"/>
                <w:w w:val="87"/>
              </w:rPr>
              <w:t>10,286</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vMerge w:val="restart"/>
          </w:tcPr>
          <w:p>
            <w:pPr>
              <w:jc w:val="center"/>
              <w:ind w:right="332"/>
              <w:spacing w:after="0"/>
              <w:rPr>
                <w:sz w:val="20"/>
                <w:szCs w:val="20"/>
                <w:color w:val="auto"/>
              </w:rPr>
            </w:pPr>
            <w:r>
              <w:rPr>
                <w:rFonts w:ascii="Arial" w:cs="Arial" w:eastAsia="Arial" w:hAnsi="Arial"/>
                <w:sz w:val="18"/>
                <w:szCs w:val="18"/>
                <w:color w:val="0000FF"/>
                <w:w w:val="86"/>
              </w:rPr>
              <w:t>101</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7"/>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7"/>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On February 27, 2020, the Reporting Person received a restricted share award of 2,700 Common Shares, which vests on January 1, 2023.</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270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7000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0000FF"/>
        </w:rPr>
        <w:t>03/02/2020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60" w:space="30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32" w:lineRule="exact"/>
        <w:rPr>
          <w:sz w:val="20"/>
          <w:szCs w:val="20"/>
          <w:color w:val="auto"/>
        </w:rPr>
      </w:pPr>
    </w:p>
    <w:p>
      <w:pPr>
        <w:ind w:right="4419"/>
        <w:spacing w:after="0" w:line="473"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Executive Vice President &amp; General Counsel,</w:t>
      </w:r>
    </w:p>
    <w:p>
      <w:pPr>
        <w:spacing w:after="0" w:line="10" w:lineRule="exact"/>
        <w:rPr>
          <w:sz w:val="20"/>
          <w:szCs w:val="20"/>
          <w:color w:val="auto"/>
        </w:rPr>
      </w:pPr>
    </w:p>
    <w:p>
      <w:pPr>
        <w:ind w:right="4839"/>
        <w:spacing w:after="0" w:line="536" w:lineRule="auto"/>
        <w:rPr>
          <w:sz w:val="20"/>
          <w:szCs w:val="20"/>
          <w:color w:val="auto"/>
        </w:rPr>
      </w:pPr>
      <w:r>
        <w:rPr>
          <w:rFonts w:ascii="Courier New" w:cs="Courier New" w:eastAsia="Courier New" w:hAnsi="Courier New"/>
          <w:sz w:val="16"/>
          <w:szCs w:val="16"/>
          <w:color w:val="auto"/>
        </w:rPr>
        <w:t>Jennifer L. Moyer, Managing Director &amp; Corporate Secretary, Jason R. Lichtenstein, Managing Director</w:t>
      </w:r>
    </w:p>
    <w:p>
      <w:pPr>
        <w:spacing w:after="0" w:line="1" w:lineRule="exact"/>
        <w:rPr>
          <w:sz w:val="20"/>
          <w:szCs w:val="20"/>
          <w:color w:val="auto"/>
        </w:rPr>
      </w:pPr>
    </w:p>
    <w:p>
      <w:pPr>
        <w:ind w:right="4939" w:firstLine="8"/>
        <w:spacing w:after="0" w:line="474"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Associate General Counsel, and Wesley Bell, Vice President &amp; Assistant General Counsel,signing singly, the undersigned's true and lawful attorney-in-fact to:</w:t>
      </w:r>
    </w:p>
    <w:p>
      <w:pPr>
        <w:spacing w:after="0" w:line="9" w:lineRule="exact"/>
        <w:rPr>
          <w:rFonts w:ascii="Courier New" w:cs="Courier New" w:eastAsia="Courier New" w:hAnsi="Courier New"/>
          <w:sz w:val="18"/>
          <w:szCs w:val="18"/>
          <w:color w:val="auto"/>
        </w:rPr>
      </w:pPr>
    </w:p>
    <w:p>
      <w:pPr>
        <w:ind w:right="377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 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9"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9"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w:t>
      </w:r>
    </w:p>
    <w:p>
      <w:pPr>
        <w:sectPr>
          <w:pgSz w:w="11900" w:h="16971" w:orient="portrait"/>
          <w:cols w:equalWidth="0" w:num="1">
            <w:col w:w="10219"/>
          </w:cols>
          <w:pgMar w:left="240" w:top="142" w:right="1440" w:bottom="0" w:gutter="0" w:footer="0" w:header="0"/>
        </w:sectPr>
      </w:pPr>
    </w:p>
    <w:bookmarkStart w:id="2" w:name="page3"/>
    <w:bookmarkEnd w:id="2"/>
    <w:p>
      <w:pPr>
        <w:ind w:right="3479"/>
        <w:spacing w:after="0" w:line="541" w:lineRule="auto"/>
        <w:rPr>
          <w:sz w:val="20"/>
          <w:szCs w:val="20"/>
          <w:color w:val="auto"/>
        </w:rPr>
      </w:pPr>
      <w:r>
        <w:rPr>
          <w:rFonts w:ascii="Courier New" w:cs="Courier New" w:eastAsia="Courier New" w:hAnsi="Courier New"/>
          <w:sz w:val="16"/>
          <w:szCs w:val="16"/>
          <w:color w:val="auto"/>
        </w:rPr>
        <w:t>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371"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19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the date indicated below.</w:t>
      </w:r>
    </w:p>
    <w:p>
      <w:pPr>
        <w:spacing w:after="0" w:line="200" w:lineRule="exact"/>
        <w:rPr>
          <w:sz w:val="20"/>
          <w:szCs w:val="20"/>
          <w:color w:val="auto"/>
        </w:rPr>
      </w:pPr>
    </w:p>
    <w:p>
      <w:pPr>
        <w:spacing w:after="0" w:line="209" w:lineRule="exact"/>
        <w:rPr>
          <w:sz w:val="20"/>
          <w:szCs w:val="20"/>
          <w:color w:val="auto"/>
        </w:rPr>
      </w:pPr>
    </w:p>
    <w:p>
      <w:pPr>
        <w:spacing w:after="0"/>
        <w:tabs>
          <w:tab w:leader="none" w:pos="2420" w:val="left"/>
          <w:tab w:leader="none" w:pos="2940" w:val="left"/>
        </w:tabs>
        <w:rPr>
          <w:sz w:val="20"/>
          <w:szCs w:val="20"/>
          <w:color w:val="auto"/>
        </w:rPr>
      </w:pPr>
      <w:r>
        <w:rPr>
          <w:rFonts w:ascii="Courier New" w:cs="Courier New" w:eastAsia="Courier New" w:hAnsi="Courier New"/>
          <w:sz w:val="18"/>
          <w:szCs w:val="18"/>
          <w:color w:val="auto"/>
        </w:rPr>
        <w:t>Date: May 24, 2018</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G. Manning Rountree</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amp;"/>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5747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2020-03-02T15:30:48Z</dcterms:created>
  <dcterms:modified xsi:type="dcterms:W3CDTF">2020-03-02T15:30:48Z</dcterms:modified>
</cp:coreProperties>
</file>