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-10795</wp:posOffset>
            </wp:positionV>
            <wp:extent cx="141605" cy="191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605" cy="191770"/>
                    </a:xfrm>
                    <a:prstGeom prst="rect">
                      <a:avLst/>
                    </a:prstGeom>
                    <a:noFill/>
                  </pic:spPr>
                </pic:pic>
              </a:graphicData>
            </a:graphic>
          </wp:anchor>
        </w:drawing>
      </w:r>
    </w:p>
    <w:p>
      <w:pPr>
        <w:jc w:val="both"/>
        <w:ind w:left="340" w:right="360" w:hanging="257"/>
        <w:spacing w:after="0" w:line="182"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25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25932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80" w:space="440"/>
            <w:col w:w="8800"/>
          </w:cols>
          <w:pgMar w:left="240" w:top="223"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BARRETTE RAYMOND JOSEPH RENE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220"/>
        <w:spacing w:after="0" w:line="346" w:lineRule="auto"/>
        <w:rPr>
          <w:sz w:val="20"/>
          <w:szCs w:val="20"/>
          <w:color w:val="auto"/>
        </w:rPr>
      </w:pPr>
      <w:r>
        <w:rPr>
          <w:rFonts w:ascii="Arial" w:cs="Arial" w:eastAsia="Arial" w:hAnsi="Arial"/>
          <w:sz w:val="17"/>
          <w:szCs w:val="17"/>
          <w:color w:val="0000FF"/>
        </w:rPr>
        <w:t>C/O WHITE MOUNTAINS INSURANCE GROUP 80 SOUTH MAIN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3"/>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980" w:type="dxa"/>
            <w:vAlign w:val="bottom"/>
            <w:gridSpan w:val="4"/>
          </w:tcPr>
          <w:p>
            <w:pPr>
              <w:ind w:left="60"/>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3980" w:type="dxa"/>
            <w:vAlign w:val="bottom"/>
            <w:gridSpan w:val="4"/>
            <w:vMerge w:val="restart"/>
          </w:tcPr>
          <w:p>
            <w:pPr>
              <w:ind w:left="60"/>
              <w:spacing w:after="0" w:line="21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vMerge w:val="continue"/>
          </w:tcPr>
          <w:p>
            <w:pPr>
              <w:spacing w:after="0"/>
              <w:rPr>
                <w:sz w:val="11"/>
                <w:szCs w:val="11"/>
                <w:color w:val="auto"/>
              </w:rPr>
            </w:pP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440" w:type="dxa"/>
            <w:vAlign w:val="bottom"/>
            <w:gridSpan w:val="4"/>
          </w:tcPr>
          <w:p>
            <w:pPr>
              <w:ind w:left="260"/>
              <w:spacing w:after="0" w:line="181" w:lineRule="exact"/>
              <w:rPr>
                <w:sz w:val="20"/>
                <w:szCs w:val="20"/>
                <w:color w:val="auto"/>
              </w:rPr>
            </w:pPr>
            <w:r>
              <w:rPr>
                <w:rFonts w:ascii="Arial" w:cs="Arial" w:eastAsia="Arial" w:hAnsi="Arial"/>
                <w:sz w:val="17"/>
                <w:szCs w:val="17"/>
                <w:color w:val="0000FF"/>
              </w:rPr>
              <w:t xml:space="preserve">Chief Executive Officer </w:t>
            </w:r>
            <w:r>
              <w:rPr>
                <w:rFonts w:ascii="Arial" w:cs="Arial" w:eastAsia="Arial" w:hAnsi="Arial"/>
                <w:sz w:val="20"/>
                <w:szCs w:val="20"/>
                <w:color w:val="000000"/>
              </w:rPr>
              <w:t>/</w:t>
            </w:r>
            <w:r>
              <w:rPr>
                <w:rFonts w:ascii="Arial" w:cs="Arial" w:eastAsia="Arial" w:hAnsi="Arial"/>
                <w:sz w:val="17"/>
                <w:szCs w:val="17"/>
                <w:color w:val="0000FF"/>
              </w:rPr>
              <w:t xml:space="preserve"> Chairman of the</w:t>
            </w:r>
          </w:p>
        </w:tc>
        <w:tc>
          <w:tcPr>
            <w:tcW w:w="0" w:type="dxa"/>
            <w:vAlign w:val="bottom"/>
          </w:tcPr>
          <w:p>
            <w:pPr>
              <w:spacing w:after="0"/>
              <w:rPr>
                <w:sz w:val="1"/>
                <w:szCs w:val="1"/>
                <w:color w:val="auto"/>
              </w:rPr>
            </w:pPr>
          </w:p>
        </w:tc>
      </w:tr>
      <w:tr>
        <w:trPr>
          <w:trHeight w:val="255"/>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12/27/2007</w:t>
            </w:r>
          </w:p>
        </w:tc>
        <w:tc>
          <w:tcPr>
            <w:tcW w:w="2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gridSpan w:val="2"/>
          </w:tcPr>
          <w:p>
            <w:pPr>
              <w:ind w:left="1000"/>
              <w:spacing w:after="0"/>
              <w:rPr>
                <w:sz w:val="20"/>
                <w:szCs w:val="20"/>
                <w:color w:val="auto"/>
              </w:rPr>
            </w:pPr>
            <w:r>
              <w:rPr>
                <w:rFonts w:ascii="Arial" w:cs="Arial" w:eastAsia="Arial" w:hAnsi="Arial"/>
                <w:sz w:val="17"/>
                <w:szCs w:val="17"/>
                <w:color w:val="0000FF"/>
              </w:rPr>
              <w:t>Board</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20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53" w:lineRule="exact"/>
        <w:rPr>
          <w:sz w:val="20"/>
          <w:szCs w:val="20"/>
          <w:color w:val="auto"/>
        </w:rPr>
      </w:pPr>
    </w:p>
    <w:p>
      <w:pPr>
        <w:sectPr>
          <w:pgSz w:w="11900" w:h="16838" w:orient="portrait"/>
          <w:cols w:equalWidth="0" w:num="2">
            <w:col w:w="3900" w:space="100"/>
            <w:col w:w="752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700"/>
              <w:spacing w:after="0" w:line="131"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1"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82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50,000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6,834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4,615</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100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9,000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4,230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34"/>
                <w:szCs w:val="34"/>
                <w:color w:val="0000FF"/>
                <w:w w:val="77"/>
                <w:vertAlign w:val="subscript"/>
              </w:rPr>
              <w:t>37</w:t>
            </w:r>
            <w:r>
              <w:rPr>
                <w:rFonts w:ascii="Arial" w:cs="Arial" w:eastAsia="Arial" w:hAnsi="Arial"/>
                <w:sz w:val="11"/>
                <w:szCs w:val="11"/>
                <w:color w:val="008000"/>
                <w:w w:val="77"/>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34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jc w:val="right"/>
              <w:ind w:right="2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ind w:left="60"/>
              <w:spacing w:after="0" w:line="144" w:lineRule="exact"/>
              <w:rPr>
                <w:sz w:val="20"/>
                <w:szCs w:val="20"/>
                <w:color w:val="auto"/>
              </w:rPr>
            </w:pPr>
            <w:r>
              <w:rPr>
                <w:rFonts w:ascii="Arial" w:cs="Arial" w:eastAsia="Arial" w:hAnsi="Arial"/>
                <w:sz w:val="13"/>
                <w:szCs w:val="13"/>
                <w:color w:val="0000FF"/>
              </w:rPr>
              <w:t>Shares</w:t>
            </w:r>
          </w:p>
        </w:tc>
        <w:tc>
          <w:tcPr>
            <w:tcW w:w="820" w:type="dxa"/>
            <w:vAlign w:val="bottom"/>
            <w:vMerge w:val="restart"/>
          </w:tcPr>
          <w:p>
            <w:pPr>
              <w:jc w:val="right"/>
              <w:ind w:right="302"/>
              <w:spacing w:after="0"/>
              <w:rPr>
                <w:sz w:val="20"/>
                <w:szCs w:val="20"/>
                <w:color w:val="auto"/>
              </w:rPr>
            </w:pPr>
            <w:r>
              <w:rPr>
                <w:rFonts w:ascii="Arial" w:cs="Arial" w:eastAsia="Arial" w:hAnsi="Arial"/>
                <w:sz w:val="11"/>
                <w:szCs w:val="11"/>
                <w:color w:val="008000"/>
              </w:rPr>
              <w:t>(4)</w:t>
            </w:r>
          </w:p>
        </w:tc>
        <w:tc>
          <w:tcPr>
            <w:tcW w:w="1060" w:type="dxa"/>
            <w:vAlign w:val="bottom"/>
            <w:vMerge w:val="restart"/>
          </w:tcPr>
          <w:p>
            <w:pPr>
              <w:ind w:left="220"/>
              <w:spacing w:after="0"/>
              <w:rPr>
                <w:sz w:val="20"/>
                <w:szCs w:val="20"/>
                <w:color w:val="auto"/>
              </w:rPr>
            </w:pPr>
            <w:r>
              <w:rPr>
                <w:rFonts w:ascii="Arial" w:cs="Arial" w:eastAsia="Arial" w:hAnsi="Arial"/>
                <w:sz w:val="13"/>
                <w:szCs w:val="13"/>
                <w:color w:val="0000FF"/>
              </w:rPr>
              <w:t>12/27/2007</w:t>
            </w:r>
          </w:p>
        </w:tc>
        <w:tc>
          <w:tcPr>
            <w:tcW w:w="1100" w:type="dxa"/>
            <w:vAlign w:val="bottom"/>
          </w:tcPr>
          <w:p>
            <w:pPr>
              <w:spacing w:after="0"/>
              <w:rPr>
                <w:sz w:val="12"/>
                <w:szCs w:val="12"/>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800" w:type="dxa"/>
            <w:vAlign w:val="bottom"/>
            <w:vMerge w:val="restart"/>
          </w:tcPr>
          <w:p>
            <w:pPr>
              <w:ind w:left="80"/>
              <w:spacing w:after="0" w:line="271" w:lineRule="exact"/>
              <w:rPr>
                <w:sz w:val="20"/>
                <w:szCs w:val="20"/>
                <w:color w:val="auto"/>
              </w:rPr>
            </w:pPr>
            <w:r>
              <w:rPr>
                <w:rFonts w:ascii="Arial" w:cs="Arial" w:eastAsia="Arial" w:hAnsi="Arial"/>
                <w:sz w:val="26"/>
                <w:szCs w:val="26"/>
                <w:color w:val="0000FF"/>
                <w:vertAlign w:val="subscript"/>
              </w:rPr>
              <w:t>85</w:t>
            </w:r>
            <w:r>
              <w:rPr>
                <w:rFonts w:ascii="Arial" w:cs="Arial" w:eastAsia="Arial" w:hAnsi="Arial"/>
                <w:sz w:val="11"/>
                <w:szCs w:val="11"/>
                <w:color w:val="008000"/>
              </w:rPr>
              <w:t>(6)</w:t>
            </w: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194"/>
              <w:spacing w:after="0"/>
              <w:rPr>
                <w:sz w:val="20"/>
                <w:szCs w:val="20"/>
                <w:color w:val="auto"/>
              </w:rPr>
            </w:pPr>
            <w:r>
              <w:rPr>
                <w:rFonts w:ascii="Arial" w:cs="Arial" w:eastAsia="Arial" w:hAnsi="Arial"/>
                <w:sz w:val="17"/>
                <w:szCs w:val="17"/>
                <w:color w:val="0000FF"/>
              </w:rPr>
              <w:t>85</w:t>
            </w:r>
          </w:p>
        </w:tc>
        <w:tc>
          <w:tcPr>
            <w:tcW w:w="2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500</w:t>
            </w:r>
            <w:r>
              <w:rPr>
                <w:rFonts w:ascii="Arial" w:cs="Arial" w:eastAsia="Arial" w:hAnsi="Arial"/>
                <w:sz w:val="21"/>
                <w:szCs w:val="21"/>
                <w:color w:val="008000"/>
                <w:vertAlign w:val="superscript"/>
              </w:rPr>
              <w:t>(7)</w:t>
            </w:r>
          </w:p>
        </w:tc>
        <w:tc>
          <w:tcPr>
            <w:tcW w:w="880" w:type="dxa"/>
            <w:vAlign w:val="bottom"/>
            <w:gridSpan w:val="2"/>
            <w:vMerge w:val="restart"/>
          </w:tcPr>
          <w:p>
            <w:pPr>
              <w:jc w:val="right"/>
              <w:ind w:right="201"/>
              <w:spacing w:after="0"/>
              <w:rPr>
                <w:sz w:val="20"/>
                <w:szCs w:val="20"/>
                <w:color w:val="auto"/>
              </w:rPr>
            </w:pPr>
            <w:r>
              <w:rPr>
                <w:rFonts w:ascii="Arial" w:cs="Arial" w:eastAsia="Arial" w:hAnsi="Arial"/>
                <w:sz w:val="13"/>
                <w:szCs w:val="13"/>
                <w:color w:val="0000FF"/>
              </w:rPr>
              <w:t>21,136</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ind w:left="60"/>
              <w:spacing w:after="0" w:line="144" w:lineRule="exact"/>
              <w:rPr>
                <w:sz w:val="20"/>
                <w:szCs w:val="20"/>
                <w:color w:val="auto"/>
              </w:rPr>
            </w:pPr>
            <w:r>
              <w:rPr>
                <w:rFonts w:ascii="Arial" w:cs="Arial" w:eastAsia="Arial" w:hAnsi="Arial"/>
                <w:sz w:val="13"/>
                <w:szCs w:val="13"/>
                <w:color w:val="0000FF"/>
              </w:rPr>
              <w:t>(Deferred</w:t>
            </w:r>
          </w:p>
        </w:tc>
        <w:tc>
          <w:tcPr>
            <w:tcW w:w="8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140"/>
              <w:spacing w:after="0" w:line="144" w:lineRule="exact"/>
              <w:rPr>
                <w:sz w:val="20"/>
                <w:szCs w:val="20"/>
                <w:color w:val="auto"/>
              </w:rPr>
            </w:pPr>
            <w:r>
              <w:rPr>
                <w:rFonts w:ascii="Arial" w:cs="Arial" w:eastAsia="Arial" w:hAnsi="Arial"/>
                <w:sz w:val="13"/>
                <w:szCs w:val="13"/>
                <w:color w:val="0000FF"/>
              </w:rPr>
              <w:t>Shares</w:t>
            </w: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2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1"/>
                <w:szCs w:val="21"/>
                <w:color w:val="008000"/>
                <w:vertAlign w:val="superscript"/>
              </w:rPr>
              <w:t>(5)</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jc w:val="right"/>
              <w:ind w:right="1"/>
              <w:spacing w:after="0"/>
              <w:rPr>
                <w:sz w:val="20"/>
                <w:szCs w:val="20"/>
                <w:color w:val="auto"/>
              </w:rPr>
            </w:pPr>
            <w:r>
              <w:rPr>
                <w:rFonts w:ascii="Arial" w:cs="Arial" w:eastAsia="Arial" w:hAnsi="Arial"/>
                <w:sz w:val="13"/>
                <w:szCs w:val="13"/>
                <w:color w:val="0000FF"/>
                <w:w w:val="98"/>
              </w:rPr>
              <w:t>01/19/2014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4"/>
              <w:spacing w:after="0"/>
              <w:rPr>
                <w:sz w:val="20"/>
                <w:szCs w:val="20"/>
                <w:color w:val="auto"/>
              </w:rPr>
            </w:pPr>
            <w:r>
              <w:rPr>
                <w:rFonts w:ascii="Arial" w:cs="Arial" w:eastAsia="Arial" w:hAnsi="Arial"/>
                <w:sz w:val="17"/>
                <w:szCs w:val="17"/>
                <w:color w:val="0000FF"/>
                <w:w w:val="87"/>
              </w:rPr>
              <w:t>200,000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3"/>
                <w:szCs w:val="13"/>
                <w:color w:val="0000FF"/>
              </w:rPr>
              <w:t>200,000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40" w:right="5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Since the date of his last filing, the Reporting Person acquired 15 WTM Common Shares in his 401(k) account. WTM Common Shares are purchased at their fair market value on the date of acquisition. This information in this reports is based on a plan statement dated December 28, 2007.</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deferred compensation account. The Reporting Person will receive a distribution of his deferred compensation account balances in 2008.</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are convertible into Common Shares on a 1 for 1 basis.</w:t>
      </w:r>
    </w:p>
    <w:p>
      <w:pPr>
        <w:spacing w:after="0" w:line="46" w:lineRule="exact"/>
        <w:rPr>
          <w:rFonts w:ascii="Arial" w:cs="Arial" w:eastAsia="Arial" w:hAnsi="Arial"/>
          <w:sz w:val="13"/>
          <w:szCs w:val="13"/>
          <w:color w:val="008000"/>
        </w:rPr>
      </w:pPr>
    </w:p>
    <w:p>
      <w:pPr>
        <w:ind w:left="40" w:right="18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22" w:lineRule="exact"/>
        <w:rPr>
          <w:rFonts w:ascii="Arial" w:cs="Arial" w:eastAsia="Arial" w:hAnsi="Arial"/>
          <w:sz w:val="13"/>
          <w:szCs w:val="13"/>
          <w:color w:val="008000"/>
        </w:rPr>
      </w:pPr>
    </w:p>
    <w:p>
      <w:pPr>
        <w:ind w:left="40" w:right="48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27, 2007, the Reporting Person's deferred compensation account was credited with Phantom Shares equal in value to the ordinary dividend paid on the underlying WTM Common Shares on the dividend date.</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December 27, 2007, the date the dividends were deemed paid.</w:t>
      </w:r>
    </w:p>
    <w:p>
      <w:pPr>
        <w:sectPr>
          <w:pgSz w:w="11900" w:h="16838" w:orient="portrait"/>
          <w:cols w:equalWidth="0" w:num="1">
            <w:col w:w="11520"/>
          </w:cols>
          <w:pgMar w:left="240" w:top="223" w:right="139" w:bottom="0" w:gutter="0" w:footer="0" w:header="0"/>
          <w:type w:val="continuous"/>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3810</wp:posOffset>
            </wp:positionV>
            <wp:extent cx="1393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501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8"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12/31/2007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92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9060" w:space="100"/>
            <w:col w:w="236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619"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25" w:right="1440" w:bottom="1440" w:gutter="0" w:footer="0" w:header="0"/>
        </w:sectPr>
      </w:pPr>
    </w:p>
    <w:bookmarkStart w:id="2" w:name="page3"/>
    <w:bookmarkEnd w:id="2"/>
    <w:p>
      <w:pPr>
        <w:ind w:right="4179"/>
        <w:spacing w:after="0" w:line="24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3" w:lineRule="exact"/>
        <w:rPr>
          <w:sz w:val="20"/>
          <w:szCs w:val="20"/>
          <w:color w:val="auto"/>
        </w:rPr>
      </w:pPr>
    </w:p>
    <w:p>
      <w:pPr>
        <w:ind w:right="4399"/>
        <w:spacing w:after="0" w:line="244"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2" w:lineRule="exact"/>
        <w:rPr>
          <w:sz w:val="20"/>
          <w:szCs w:val="20"/>
          <w:color w:val="auto"/>
        </w:rPr>
      </w:pPr>
    </w:p>
    <w:p>
      <w:pPr>
        <w:ind w:right="3979" w:firstLine="5"/>
        <w:spacing w:after="0" w:line="244" w:lineRule="auto"/>
        <w:tabs>
          <w:tab w:leader="none" w:pos="40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7"/>
          <w:szCs w:val="17"/>
          <w:color w:val="auto"/>
        </w:rPr>
      </w:pPr>
    </w:p>
    <w:p>
      <w:pPr>
        <w:ind w:right="3879" w:firstLine="5"/>
        <w:spacing w:after="0" w:line="244" w:lineRule="auto"/>
        <w:tabs>
          <w:tab w:leader="none" w:pos="40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2" w:lineRule="exact"/>
        <w:rPr>
          <w:rFonts w:ascii="Courier New" w:cs="Courier New" w:eastAsia="Courier New" w:hAnsi="Courier New"/>
          <w:sz w:val="17"/>
          <w:szCs w:val="17"/>
          <w:color w:val="auto"/>
        </w:rPr>
      </w:pPr>
    </w:p>
    <w:p>
      <w:pPr>
        <w:ind w:right="33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2" w:lineRule="exact"/>
        <w:rPr>
          <w:rFonts w:ascii="Courier New" w:cs="Courier New" w:eastAsia="Courier New" w:hAnsi="Courier New"/>
          <w:sz w:val="17"/>
          <w:szCs w:val="17"/>
          <w:color w:val="auto"/>
        </w:rPr>
      </w:pPr>
    </w:p>
    <w:p>
      <w:pPr>
        <w:ind w:right="40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2019-12-18T13:25:54Z</dcterms:created>
  <dcterms:modified xsi:type="dcterms:W3CDTF">2019-12-18T13:25:54Z</dcterms:modified>
</cp:coreProperties>
</file>