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Rountree George Manning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4">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3"/>
          </w:tcPr>
          <w:p>
            <w:pPr>
              <w:ind w:left="340"/>
              <w:spacing w:after="0"/>
              <w:rPr>
                <w:sz w:val="20"/>
                <w:szCs w:val="20"/>
                <w:color w:val="auto"/>
              </w:rPr>
            </w:pPr>
            <w:r>
              <w:rPr>
                <w:rFonts w:ascii="Arial" w:cs="Arial" w:eastAsia="Arial" w:hAnsi="Arial"/>
                <w:sz w:val="17"/>
                <w:szCs w:val="17"/>
                <w:color w:val="0000FF"/>
              </w:rPr>
              <w:t>Chief Executive Officer</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148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01/01/2021</w:t>
            </w: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4"/>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ind w:left="760"/>
              <w:spacing w:after="0"/>
              <w:rPr>
                <w:sz w:val="20"/>
                <w:szCs w:val="20"/>
                <w:color w:val="auto"/>
              </w:rPr>
            </w:pPr>
            <w:r>
              <w:rPr>
                <w:rFonts w:ascii="Arial" w:cs="Arial" w:eastAsia="Arial" w:hAnsi="Arial"/>
                <w:sz w:val="17"/>
                <w:szCs w:val="17"/>
                <w:color w:val="0000FF"/>
              </w:rPr>
              <w:t>01/01/2021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1,187</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1,000.66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12,099</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Shares (restricted)</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5,700</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2"/>
              </w:rPr>
              <w:t>106</w:t>
            </w:r>
            <w:r>
              <w:rPr>
                <w:rFonts w:ascii="Arial" w:cs="Arial" w:eastAsia="Arial" w:hAnsi="Arial"/>
                <w:sz w:val="22"/>
                <w:szCs w:val="22"/>
                <w:color w:val="008000"/>
                <w:w w:val="82"/>
                <w:vertAlign w:val="superscript"/>
              </w:rPr>
              <w:t>(2)</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-3449320</wp:posOffset>
            </wp:positionV>
            <wp:extent cx="7031355" cy="3494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9440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 2021, 3,000 restricted Common Shares became unrestricted. 1,187 of the Common Shares were withheld by the Company to satisfy the Reporting Person's tax obligations.</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accumulation of 5 Common Shares in Reporting Person's Company 401(k) account since his last filed report. The information in this report is based on a plan report dated as of December 30, 2020.</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9"/>
              </w:rPr>
              <w:t>Wesley C. Bell,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01/04/2021</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G. Manning Rountree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7475"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2021-01-04T15:06:12Z</dcterms:created>
  <dcterms:modified xsi:type="dcterms:W3CDTF">2021-01-04T15:06:12Z</dcterms:modified>
</cp:coreProperties>
</file>