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442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44283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KEMP KARL THOMAS</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60"/>
        <w:spacing w:after="0" w:line="355" w:lineRule="auto"/>
        <w:rPr>
          <w:sz w:val="20"/>
          <w:szCs w:val="20"/>
          <w:color w:val="auto"/>
        </w:rPr>
      </w:pPr>
      <w:r>
        <w:rPr>
          <w:rFonts w:ascii="Arial" w:cs="Arial" w:eastAsia="Arial" w:hAnsi="Arial"/>
          <w:sz w:val="17"/>
          <w:szCs w:val="17"/>
          <w:color w:val="0000FF"/>
        </w:rPr>
        <w:t>WHITE MOUNTAINS INSURANCE GROUP, LTD. 80 SOUTH MAIN STREET</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4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02/12/2004</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6" w:lineRule="exact"/>
        <w:rPr>
          <w:sz w:val="20"/>
          <w:szCs w:val="20"/>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560"/>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jc w:val="center"/>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jc w:val="center"/>
              <w:ind w:left="44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9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91"/>
              </w:rPr>
              <w:t>02/12/2004</w:t>
            </w:r>
          </w:p>
        </w:tc>
        <w:tc>
          <w:tcPr>
            <w:tcW w:w="11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02/12/2004</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50"/>
              <w:spacing w:after="0"/>
              <w:rPr>
                <w:sz w:val="20"/>
                <w:szCs w:val="20"/>
                <w:color w:val="auto"/>
              </w:rPr>
            </w:pPr>
            <w:r>
              <w:rPr>
                <w:rFonts w:ascii="Arial" w:cs="Arial" w:eastAsia="Arial" w:hAnsi="Arial"/>
                <w:sz w:val="17"/>
                <w:szCs w:val="17"/>
                <w:color w:val="0000FF"/>
              </w:rPr>
              <w:t>100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458.02</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62,214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91"/>
              </w:rPr>
              <w:t>02/12/2004</w:t>
            </w:r>
          </w:p>
        </w:tc>
        <w:tc>
          <w:tcPr>
            <w:tcW w:w="11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02/12/2004</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50"/>
              <w:spacing w:after="0"/>
              <w:rPr>
                <w:sz w:val="20"/>
                <w:szCs w:val="20"/>
                <w:color w:val="auto"/>
              </w:rPr>
            </w:pPr>
            <w:r>
              <w:rPr>
                <w:rFonts w:ascii="Arial" w:cs="Arial" w:eastAsia="Arial" w:hAnsi="Arial"/>
                <w:sz w:val="17"/>
                <w:szCs w:val="17"/>
                <w:color w:val="0000FF"/>
              </w:rPr>
              <w:t>100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458.5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62,114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91"/>
              </w:rPr>
              <w:t>02/12/2004</w:t>
            </w:r>
          </w:p>
        </w:tc>
        <w:tc>
          <w:tcPr>
            <w:tcW w:w="11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02/12/2004</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50"/>
              <w:spacing w:after="0"/>
              <w:rPr>
                <w:sz w:val="20"/>
                <w:szCs w:val="20"/>
                <w:color w:val="auto"/>
              </w:rPr>
            </w:pPr>
            <w:r>
              <w:rPr>
                <w:rFonts w:ascii="Arial" w:cs="Arial" w:eastAsia="Arial" w:hAnsi="Arial"/>
                <w:sz w:val="17"/>
                <w:szCs w:val="17"/>
                <w:color w:val="0000FF"/>
              </w:rPr>
              <w:t>600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jc w:val="center"/>
              <w:ind w:left="6"/>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460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61,514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91"/>
              </w:rPr>
              <w:t>02/12/2004</w:t>
            </w:r>
          </w:p>
        </w:tc>
        <w:tc>
          <w:tcPr>
            <w:tcW w:w="11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02/12/2004</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50"/>
              <w:spacing w:after="0"/>
              <w:rPr>
                <w:sz w:val="20"/>
                <w:szCs w:val="20"/>
                <w:color w:val="auto"/>
              </w:rPr>
            </w:pPr>
            <w:r>
              <w:rPr>
                <w:rFonts w:ascii="Arial" w:cs="Arial" w:eastAsia="Arial" w:hAnsi="Arial"/>
                <w:sz w:val="17"/>
                <w:szCs w:val="17"/>
                <w:color w:val="0000FF"/>
              </w:rPr>
              <w:t>100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jc w:val="center"/>
              <w:ind w:left="6"/>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462</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61,414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91"/>
              </w:rPr>
              <w:t>02/12/2004</w:t>
            </w:r>
          </w:p>
        </w:tc>
        <w:tc>
          <w:tcPr>
            <w:tcW w:w="11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02/12/2004</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50"/>
              <w:spacing w:after="0"/>
              <w:rPr>
                <w:sz w:val="20"/>
                <w:szCs w:val="20"/>
                <w:color w:val="auto"/>
              </w:rPr>
            </w:pPr>
            <w:r>
              <w:rPr>
                <w:rFonts w:ascii="Arial" w:cs="Arial" w:eastAsia="Arial" w:hAnsi="Arial"/>
                <w:sz w:val="17"/>
                <w:szCs w:val="17"/>
                <w:color w:val="0000FF"/>
              </w:rPr>
              <w:t>100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462.75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61,314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18,818</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4,487</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324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52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Shares</w:t>
            </w:r>
          </w:p>
        </w:tc>
        <w:tc>
          <w:tcPr>
            <w:tcW w:w="84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210"/>
              <w:spacing w:after="0"/>
              <w:rPr>
                <w:sz w:val="20"/>
                <w:szCs w:val="20"/>
                <w:color w:val="auto"/>
              </w:rPr>
            </w:pPr>
            <w:r>
              <w:rPr>
                <w:rFonts w:ascii="Arial" w:cs="Arial" w:eastAsia="Arial" w:hAnsi="Arial"/>
                <w:sz w:val="11"/>
                <w:szCs w:val="11"/>
                <w:color w:val="008000"/>
              </w:rPr>
              <w:t>(3)</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ind w:left="40"/>
              <w:spacing w:after="0"/>
              <w:rPr>
                <w:sz w:val="20"/>
                <w:szCs w:val="20"/>
                <w:color w:val="auto"/>
              </w:rPr>
            </w:pPr>
            <w:r>
              <w:rPr>
                <w:rFonts w:ascii="Arial" w:cs="Arial" w:eastAsia="Arial" w:hAnsi="Arial"/>
                <w:sz w:val="17"/>
                <w:szCs w:val="17"/>
                <w:color w:val="0000FF"/>
              </w:rPr>
              <w:t>2,040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ind w:left="200"/>
              <w:spacing w:after="0" w:line="208" w:lineRule="exact"/>
              <w:rPr>
                <w:sz w:val="20"/>
                <w:szCs w:val="20"/>
                <w:color w:val="auto"/>
              </w:rPr>
            </w:pPr>
            <w:r>
              <w:rPr>
                <w:rFonts w:ascii="Arial" w:cs="Arial" w:eastAsia="Arial" w:hAnsi="Arial"/>
                <w:sz w:val="13"/>
                <w:szCs w:val="13"/>
                <w:color w:val="0000FF"/>
              </w:rPr>
              <w:t>2,040</w:t>
            </w:r>
            <w:r>
              <w:rPr>
                <w:rFonts w:ascii="Arial" w:cs="Arial" w:eastAsia="Arial" w:hAnsi="Arial"/>
                <w:sz w:val="22"/>
                <w:szCs w:val="22"/>
                <w:color w:val="008000"/>
                <w:vertAlign w:val="superscript"/>
              </w:rPr>
              <w:t>(3)</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40" w:type="dxa"/>
            <w:vAlign w:val="bottom"/>
          </w:tcPr>
          <w:p>
            <w:pPr>
              <w:ind w:left="60"/>
              <w:spacing w:after="0" w:line="85" w:lineRule="exact"/>
              <w:rPr>
                <w:sz w:val="20"/>
                <w:szCs w:val="20"/>
                <w:color w:val="auto"/>
              </w:rPr>
            </w:pPr>
            <w:r>
              <w:rPr>
                <w:rFonts w:ascii="Arial" w:cs="Arial" w:eastAsia="Arial" w:hAnsi="Arial"/>
                <w:sz w:val="9"/>
                <w:szCs w:val="9"/>
                <w:color w:val="0000FF"/>
              </w:rPr>
              <w:t>(Deferred</w:t>
            </w: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jc w:val="center"/>
              <w:spacing w:after="0" w:line="85" w:lineRule="exact"/>
              <w:rPr>
                <w:sz w:val="20"/>
                <w:szCs w:val="20"/>
                <w:color w:val="auto"/>
              </w:rPr>
            </w:pPr>
            <w:r>
              <w:rPr>
                <w:rFonts w:ascii="Arial" w:cs="Arial" w:eastAsia="Arial" w:hAnsi="Arial"/>
                <w:sz w:val="9"/>
                <w:szCs w:val="9"/>
                <w:color w:val="0000FF"/>
              </w:rPr>
              <w:t>Shares</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Shares</w:t>
            </w:r>
          </w:p>
        </w:tc>
        <w:tc>
          <w:tcPr>
            <w:tcW w:w="84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jc w:val="right"/>
              <w:ind w:right="210"/>
              <w:spacing w:after="0"/>
              <w:rPr>
                <w:sz w:val="20"/>
                <w:szCs w:val="20"/>
                <w:color w:val="auto"/>
              </w:rPr>
            </w:pPr>
            <w:r>
              <w:rPr>
                <w:rFonts w:ascii="Arial" w:cs="Arial" w:eastAsia="Arial" w:hAnsi="Arial"/>
                <w:sz w:val="11"/>
                <w:szCs w:val="11"/>
                <w:color w:val="008000"/>
              </w:rPr>
              <w:t>(4)</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ind w:left="40"/>
              <w:spacing w:after="0"/>
              <w:rPr>
                <w:sz w:val="20"/>
                <w:szCs w:val="20"/>
                <w:color w:val="auto"/>
              </w:rPr>
            </w:pPr>
            <w:r>
              <w:rPr>
                <w:rFonts w:ascii="Arial" w:cs="Arial" w:eastAsia="Arial" w:hAnsi="Arial"/>
                <w:sz w:val="17"/>
                <w:szCs w:val="17"/>
                <w:color w:val="0000FF"/>
              </w:rPr>
              <w:t>9,014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ind w:left="200"/>
              <w:spacing w:after="0" w:line="208" w:lineRule="exact"/>
              <w:rPr>
                <w:sz w:val="20"/>
                <w:szCs w:val="20"/>
                <w:color w:val="auto"/>
              </w:rPr>
            </w:pPr>
            <w:r>
              <w:rPr>
                <w:rFonts w:ascii="Arial" w:cs="Arial" w:eastAsia="Arial" w:hAnsi="Arial"/>
                <w:sz w:val="13"/>
                <w:szCs w:val="13"/>
                <w:color w:val="0000FF"/>
              </w:rPr>
              <w:t>9,014</w:t>
            </w:r>
            <w:r>
              <w:rPr>
                <w:rFonts w:ascii="Arial" w:cs="Arial" w:eastAsia="Arial" w:hAnsi="Arial"/>
                <w:sz w:val="22"/>
                <w:szCs w:val="22"/>
                <w:color w:val="008000"/>
                <w:vertAlign w:val="superscript"/>
              </w:rPr>
              <w:t>(4)</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40" w:type="dxa"/>
            <w:vAlign w:val="bottom"/>
          </w:tcPr>
          <w:p>
            <w:pPr>
              <w:ind w:left="60"/>
              <w:spacing w:after="0" w:line="94" w:lineRule="exact"/>
              <w:rPr>
                <w:sz w:val="20"/>
                <w:szCs w:val="20"/>
                <w:color w:val="auto"/>
              </w:rPr>
            </w:pPr>
            <w:r>
              <w:rPr>
                <w:rFonts w:ascii="Arial" w:cs="Arial" w:eastAsia="Arial" w:hAnsi="Arial"/>
                <w:sz w:val="10"/>
                <w:szCs w:val="10"/>
                <w:color w:val="0000FF"/>
              </w:rPr>
              <w:t>(Deferred</w:t>
            </w: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jc w:val="center"/>
              <w:spacing w:after="0" w:line="94" w:lineRule="exact"/>
              <w:rPr>
                <w:sz w:val="20"/>
                <w:szCs w:val="20"/>
                <w:color w:val="auto"/>
              </w:rPr>
            </w:pPr>
            <w:r>
              <w:rPr>
                <w:rFonts w:ascii="Arial" w:cs="Arial" w:eastAsia="Arial" w:hAnsi="Arial"/>
                <w:sz w:val="10"/>
                <w:szCs w:val="10"/>
                <w:color w:val="0000FF"/>
              </w:rPr>
              <w:t>Shares</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August 11, 2003.</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Payment of deferred compensation balances is due in cash based on a predetermined Payment Schedule entered into in October 1999 by the Reporting Person.</w:t>
      </w:r>
    </w:p>
    <w:p>
      <w:pPr>
        <w:spacing w:after="0" w:line="49" w:lineRule="exact"/>
        <w:rPr>
          <w:rFonts w:ascii="Arial" w:cs="Arial" w:eastAsia="Arial" w:hAnsi="Arial"/>
          <w:sz w:val="13"/>
          <w:szCs w:val="13"/>
          <w:color w:val="008000"/>
        </w:rPr>
      </w:pPr>
    </w:p>
    <w:p>
      <w:pPr>
        <w:ind w:left="40" w:right="40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Common Shares following the Reporting Person's resignation as a Director of the Company or beginning at a date selected by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7"/>
                <w:szCs w:val="17"/>
                <w:color w:val="0000FF"/>
              </w:rPr>
              <w:t>Dennis Beaulieu, by Power of</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02/12/2004</w:t>
            </w:r>
          </w:p>
        </w:tc>
        <w:tc>
          <w:tcPr>
            <w:tcW w:w="0" w:type="dxa"/>
            <w:vAlign w:val="bottom"/>
          </w:tcPr>
          <w:p>
            <w:pPr>
              <w:spacing w:after="0"/>
              <w:rPr>
                <w:sz w:val="1"/>
                <w:szCs w:val="1"/>
                <w:color w:val="auto"/>
              </w:rPr>
            </w:pPr>
          </w:p>
        </w:tc>
      </w:tr>
      <w:tr>
        <w:trPr>
          <w:trHeight w:val="91"/>
        </w:trPr>
        <w:tc>
          <w:tcPr>
            <w:tcW w:w="6820" w:type="dxa"/>
            <w:vAlign w:val="bottom"/>
          </w:tcPr>
          <w:p>
            <w:pPr>
              <w:spacing w:after="0"/>
              <w:rPr>
                <w:sz w:val="7"/>
                <w:szCs w:val="7"/>
                <w:color w:val="auto"/>
              </w:rPr>
            </w:pPr>
          </w:p>
        </w:tc>
        <w:tc>
          <w:tcPr>
            <w:tcW w:w="208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Attorney</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820" w:type="dxa"/>
            <w:vAlign w:val="bottom"/>
          </w:tcPr>
          <w:p>
            <w:pPr>
              <w:spacing w:after="0"/>
              <w:rPr>
                <w:sz w:val="7"/>
                <w:szCs w:val="7"/>
                <w:color w:val="auto"/>
              </w:rPr>
            </w:pPr>
          </w:p>
        </w:tc>
        <w:tc>
          <w:tcPr>
            <w:tcW w:w="20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9"/>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79"/>
          </w:cols>
          <w:pgMar w:left="280" w:top="124" w:right="1440" w:bottom="1440" w:gutter="0" w:footer="0" w:header="0"/>
        </w:sectPr>
      </w:pPr>
    </w:p>
    <w:bookmarkStart w:id="2" w:name="page3"/>
    <w:bookmarkEnd w:id="2"/>
    <w:p>
      <w:pPr>
        <w:ind w:right="327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 Dennis P. Beaulieu, Secretary, of White Mountains Insurance Group, Ltd.,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4"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7th day of January, 2004.</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K. Thomas Kemp</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7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2019-12-17T11:02:57Z</dcterms:created>
  <dcterms:modified xsi:type="dcterms:W3CDTF">2019-12-17T11:02:57Z</dcterms:modified>
</cp:coreProperties>
</file>