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5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545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62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12/19/2011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621"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12/14/2011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400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16,090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300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426.07</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16,390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41"/>
              <w:spacing w:after="0"/>
              <w:rPr>
                <w:sz w:val="20"/>
                <w:szCs w:val="20"/>
                <w:color w:val="auto"/>
              </w:rPr>
            </w:pPr>
            <w:r>
              <w:rPr>
                <w:rFonts w:ascii="Arial" w:cs="Arial" w:eastAsia="Arial" w:hAnsi="Arial"/>
                <w:sz w:val="18"/>
                <w:szCs w:val="18"/>
                <w:color w:val="0000FF"/>
                <w:w w:val="79"/>
              </w:rPr>
              <w:t>7</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426.23</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16,397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426.93</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16,897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110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427.06</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17,007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9"/>
              </w:rPr>
              <w:t>57</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427.81</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17,064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41"/>
              <w:spacing w:after="0"/>
              <w:rPr>
                <w:sz w:val="20"/>
                <w:szCs w:val="20"/>
                <w:color w:val="auto"/>
              </w:rPr>
            </w:pPr>
            <w:r>
              <w:rPr>
                <w:rFonts w:ascii="Arial" w:cs="Arial" w:eastAsia="Arial" w:hAnsi="Arial"/>
                <w:sz w:val="18"/>
                <w:szCs w:val="18"/>
                <w:color w:val="0000FF"/>
                <w:w w:val="79"/>
              </w:rPr>
              <w:t>1</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428.03</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17,065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9"/>
              </w:rPr>
              <w:t>36</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428.9</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17,101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P</w:t>
            </w:r>
          </w:p>
        </w:tc>
        <w:tc>
          <w:tcPr>
            <w:tcW w:w="320" w:type="dxa"/>
            <w:vAlign w:val="bottom"/>
          </w:tcPr>
          <w:p>
            <w:pPr>
              <w:spacing w:after="0"/>
              <w:rPr>
                <w:sz w:val="23"/>
                <w:szCs w:val="23"/>
                <w:color w:val="auto"/>
              </w:rPr>
            </w:pP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429.71</w:t>
            </w:r>
          </w:p>
        </w:tc>
        <w:tc>
          <w:tcPr>
            <w:tcW w:w="340" w:type="dxa"/>
            <w:vAlign w:val="bottom"/>
          </w:tcPr>
          <w:p>
            <w:pPr>
              <w:spacing w:after="0"/>
              <w:rPr>
                <w:sz w:val="23"/>
                <w:szCs w:val="23"/>
                <w:color w:val="auto"/>
              </w:rPr>
            </w:pPr>
          </w:p>
        </w:tc>
        <w:tc>
          <w:tcPr>
            <w:tcW w:w="900" w:type="dxa"/>
            <w:vAlign w:val="bottom"/>
          </w:tcPr>
          <w:p>
            <w:pPr>
              <w:jc w:val="right"/>
              <w:ind w:right="325"/>
              <w:spacing w:after="0"/>
              <w:rPr>
                <w:sz w:val="20"/>
                <w:szCs w:val="20"/>
                <w:color w:val="auto"/>
              </w:rPr>
            </w:pPr>
            <w:r>
              <w:rPr>
                <w:rFonts w:ascii="Arial" w:cs="Arial" w:eastAsia="Arial" w:hAnsi="Arial"/>
                <w:sz w:val="18"/>
                <w:szCs w:val="18"/>
                <w:color w:val="0000FF"/>
                <w:w w:val="87"/>
              </w:rPr>
              <w:t>17,301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8"/>
                <w:szCs w:val="18"/>
                <w:color w:val="0000FF"/>
                <w:w w:val="88"/>
              </w:rPr>
              <w:t>12/19/2011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8"/>
                <w:vertAlign w:val="subscript"/>
              </w:rPr>
              <w:t>P</w:t>
            </w:r>
            <w:r>
              <w:rPr>
                <w:rFonts w:ascii="Arial" w:cs="Arial" w:eastAsia="Arial" w:hAnsi="Arial"/>
                <w:sz w:val="11"/>
                <w:szCs w:val="11"/>
                <w:color w:val="008000"/>
                <w:w w:val="78"/>
              </w:rPr>
              <w:t>(1)</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3,789</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430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25"/>
              <w:spacing w:after="0"/>
              <w:rPr>
                <w:sz w:val="20"/>
                <w:szCs w:val="20"/>
                <w:color w:val="auto"/>
              </w:rPr>
            </w:pPr>
            <w:r>
              <w:rPr>
                <w:rFonts w:ascii="Arial" w:cs="Arial" w:eastAsia="Arial" w:hAnsi="Arial"/>
                <w:sz w:val="18"/>
                <w:szCs w:val="18"/>
                <w:color w:val="0000FF"/>
                <w:w w:val="87"/>
              </w:rPr>
              <w:t>21,090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right"/>
              <w:ind w:right="745"/>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sold 4,893 Common Shares held in a 401(k) account on November 29, 2011 (reported in a Form 4 on December 1) as the first step in repositioning his Common Shares to an individual retirement account. In the aggregrate, the purchases reported in this filing represent the completion of the repositioning plan. All of the purchases reported in this filing were made at higher share prices than the sales made on November 29.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12/21/2011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621"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2019-12-18T13:36:24Z</dcterms:created>
  <dcterms:modified xsi:type="dcterms:W3CDTF">2019-12-18T13:36:24Z</dcterms:modified>
</cp:coreProperties>
</file>