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Gelston Philip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6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60" w:type="dxa"/>
            <w:vAlign w:val="bottom"/>
            <w:gridSpan w:val="4"/>
          </w:tcPr>
          <w:p>
            <w:pPr>
              <w:spacing w:after="0"/>
              <w:rPr>
                <w:sz w:val="20"/>
                <w:szCs w:val="20"/>
                <w:color w:val="auto"/>
              </w:rPr>
            </w:pPr>
            <w:r>
              <w:rPr>
                <w:rFonts w:ascii="Arial" w:cs="Arial" w:eastAsia="Arial" w:hAnsi="Arial"/>
                <w:sz w:val="18"/>
                <w:szCs w:val="18"/>
                <w:color w:val="0000FF"/>
                <w:w w:val="91"/>
              </w:rPr>
              <w:t>Wesley C. Bell, by Power of</w:t>
            </w:r>
          </w:p>
        </w:tc>
        <w:tc>
          <w:tcPr>
            <w:tcW w:w="248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03/05/2018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500" w:type="dxa"/>
            <w:vAlign w:val="bottom"/>
            <w:tcBorders>
              <w:top w:val="single" w:sz="8" w:color="auto"/>
            </w:tcBorders>
            <w:vMerge w:val="restart"/>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Executive Vice President and General Counsel of White Mountains Insurance Group, Ltd., Jason R. Lichtenstein, Managing Director &amp; Associate General Counsel, and Wesley C. Bell, Vice President &amp; Assistant General Counsel,signing singly, the undersigned's true and lawful attorney-in-fact to:</w:t>
      </w:r>
    </w:p>
    <w:p>
      <w:pPr>
        <w:spacing w:after="0" w:line="3" w:lineRule="exact"/>
        <w:rPr>
          <w:sz w:val="20"/>
          <w:szCs w:val="20"/>
          <w:color w:val="auto"/>
        </w:rPr>
      </w:pPr>
    </w:p>
    <w:p>
      <w:pPr>
        <w:ind w:right="3779" w:firstLine="8"/>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42"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 to be executed as of the date indicated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Philip A. Gelston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20, 2018</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3327"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2019-12-24T09:19:15Z</dcterms:created>
  <dcterms:modified xsi:type="dcterms:W3CDTF">2019-12-24T09:19:15Z</dcterms:modified>
</cp:coreProperties>
</file>