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05/24/2007</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80" w:type="dxa"/>
            <w:vAlign w:val="bottom"/>
          </w:tcPr>
          <w:p>
            <w:pPr>
              <w:jc w:val="right"/>
              <w:ind w:right="92"/>
              <w:spacing w:after="0"/>
              <w:rPr>
                <w:sz w:val="20"/>
                <w:szCs w:val="20"/>
                <w:color w:val="auto"/>
              </w:rPr>
            </w:pPr>
            <w:r>
              <w:rPr>
                <w:rFonts w:ascii="Arial" w:cs="Arial" w:eastAsia="Arial" w:hAnsi="Arial"/>
                <w:sz w:val="18"/>
                <w:szCs w:val="18"/>
                <w:color w:val="0000FF"/>
              </w:rPr>
              <w:t>05/24/2007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300"/>
              <w:spacing w:after="0"/>
              <w:rPr>
                <w:sz w:val="20"/>
                <w:szCs w:val="20"/>
                <w:color w:val="auto"/>
              </w:rPr>
            </w:pPr>
            <w:r>
              <w:rPr>
                <w:rFonts w:ascii="Arial" w:cs="Arial" w:eastAsia="Arial" w:hAnsi="Arial"/>
                <w:sz w:val="18"/>
                <w:szCs w:val="18"/>
                <w:color w:val="0000FF"/>
              </w:rPr>
              <w:t>100</w:t>
            </w:r>
          </w:p>
        </w:tc>
        <w:tc>
          <w:tcPr>
            <w:tcW w:w="580" w:type="dxa"/>
            <w:vAlign w:val="bottom"/>
          </w:tcPr>
          <w:p>
            <w:pPr>
              <w:ind w:left="300"/>
              <w:spacing w:after="0"/>
              <w:rPr>
                <w:sz w:val="20"/>
                <w:szCs w:val="20"/>
                <w:color w:val="auto"/>
              </w:rPr>
            </w:pPr>
            <w:r>
              <w:rPr>
                <w:rFonts w:ascii="Arial" w:cs="Arial" w:eastAsia="Arial" w:hAnsi="Arial"/>
                <w:sz w:val="18"/>
                <w:szCs w:val="18"/>
                <w:color w:val="0000FF"/>
              </w:rPr>
              <w:t>A</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right"/>
              <w:ind w:right="371"/>
              <w:spacing w:after="0"/>
              <w:rPr>
                <w:sz w:val="20"/>
                <w:szCs w:val="20"/>
                <w:color w:val="auto"/>
              </w:rPr>
            </w:pPr>
            <w:r>
              <w:rPr>
                <w:rFonts w:ascii="Arial" w:cs="Arial" w:eastAsia="Arial" w:hAnsi="Arial"/>
                <w:sz w:val="18"/>
                <w:szCs w:val="18"/>
                <w:color w:val="0000FF"/>
              </w:rPr>
              <w:t>100</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 East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ind w:right="251"/>
              <w:spacing w:after="0" w:line="217" w:lineRule="exact"/>
              <w:rPr>
                <w:sz w:val="20"/>
                <w:szCs w:val="20"/>
                <w:color w:val="auto"/>
              </w:rPr>
            </w:pPr>
            <w:r>
              <w:rPr>
                <w:rFonts w:ascii="Arial" w:cs="Arial" w:eastAsia="Arial" w:hAnsi="Arial"/>
                <w:sz w:val="18"/>
                <w:szCs w:val="18"/>
                <w:color w:val="0000FF"/>
              </w:rPr>
              <w:t>7,074</w:t>
            </w:r>
            <w:r>
              <w:rPr>
                <w:rFonts w:ascii="Arial" w:cs="Arial" w:eastAsia="Arial" w:hAnsi="Arial"/>
                <w:sz w:val="22"/>
                <w:szCs w:val="22"/>
                <w:color w:val="008000"/>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Lane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See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ind w:right="251"/>
              <w:spacing w:after="0" w:line="217" w:lineRule="exact"/>
              <w:rPr>
                <w:sz w:val="20"/>
                <w:szCs w:val="20"/>
                <w:color w:val="auto"/>
              </w:rPr>
            </w:pPr>
            <w:r>
              <w:rPr>
                <w:rFonts w:ascii="Arial" w:cs="Arial" w:eastAsia="Arial" w:hAnsi="Arial"/>
                <w:sz w:val="18"/>
                <w:szCs w:val="18"/>
                <w:color w:val="0000FF"/>
              </w:rPr>
              <w:t>8,500</w:t>
            </w:r>
            <w:r>
              <w:rPr>
                <w:rFonts w:ascii="Arial" w:cs="Arial" w:eastAsia="Arial" w:hAnsi="Arial"/>
                <w:sz w:val="22"/>
                <w:szCs w:val="22"/>
                <w:color w:val="008000"/>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w w:val="98"/>
              </w:rPr>
              <w:t>Footnote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Managing Member of East Lane.</w:t>
      </w:r>
    </w:p>
    <w:p>
      <w:pPr>
        <w:spacing w:after="0" w:line="41" w:lineRule="exact"/>
        <w:rPr>
          <w:rFonts w:ascii="Arial" w:cs="Arial" w:eastAsia="Arial" w:hAnsi="Arial"/>
          <w:sz w:val="14"/>
          <w:szCs w:val="14"/>
          <w:color w:val="008000"/>
        </w:rPr>
      </w:pPr>
    </w:p>
    <w:p>
      <w:pPr>
        <w:jc w:val="both"/>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Fairholme Ventures II, LLC ("Fairholme Ventures") is the beneficial owner of 1,500 Common Shares of WTM and Fairholme Funds, Inc./The Fairholme Fund (the "Fairholme Fund") is the beneficial owner of 7,000 Common Shares of WTM. The reporting person is the Managing Member of Fairholme Capital which is the Managing Member of Fairholme Ventures and the Investment Adviser to Fairholme Fund. The reporting person disclaims beneficial ownership of the WTM Common Shares owned by Fairholme Ventures and Fairholme Fund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05/29/2007</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R.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2019-12-18T13:51:50Z</dcterms:created>
  <dcterms:modified xsi:type="dcterms:W3CDTF">2019-12-18T13:51:50Z</dcterms:modified>
</cp:coreProperties>
</file>