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6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69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Tolman Gary Charles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980" w:type="dxa"/>
            <w:vAlign w:val="bottom"/>
            <w:gridSpan w:val="4"/>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Pres &amp; CEO - Esurance</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12/31/2010</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6"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12/31/2010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60"/>
              <w:spacing w:after="0" w:line="318" w:lineRule="exact"/>
              <w:rPr>
                <w:sz w:val="20"/>
                <w:szCs w:val="20"/>
                <w:color w:val="auto"/>
              </w:rPr>
            </w:pPr>
            <w:r>
              <w:rPr>
                <w:rFonts w:ascii="Arial" w:cs="Arial" w:eastAsia="Arial" w:hAnsi="Arial"/>
                <w:sz w:val="34"/>
                <w:szCs w:val="34"/>
                <w:color w:val="0000FF"/>
                <w:w w:val="81"/>
                <w:vertAlign w:val="subscript"/>
              </w:rPr>
              <w:t>337</w:t>
            </w:r>
            <w:r>
              <w:rPr>
                <w:rFonts w:ascii="Arial" w:cs="Arial" w:eastAsia="Arial" w:hAnsi="Arial"/>
                <w:sz w:val="11"/>
                <w:szCs w:val="11"/>
                <w:color w:val="008000"/>
                <w:w w:val="81"/>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335.6</w:t>
            </w:r>
          </w:p>
        </w:tc>
        <w:tc>
          <w:tcPr>
            <w:tcW w:w="1320" w:type="dxa"/>
            <w:vAlign w:val="bottom"/>
            <w:tcBorders>
              <w:bottom w:val="single" w:sz="8" w:color="2C2C2C"/>
            </w:tcBorders>
            <w:gridSpan w:val="3"/>
          </w:tcPr>
          <w:p>
            <w:pPr>
              <w:jc w:val="center"/>
              <w:spacing w:after="0" w:line="318" w:lineRule="exact"/>
              <w:rPr>
                <w:sz w:val="20"/>
                <w:szCs w:val="20"/>
                <w:color w:val="auto"/>
              </w:rPr>
            </w:pPr>
            <w:r>
              <w:rPr>
                <w:rFonts w:ascii="Arial" w:cs="Arial" w:eastAsia="Arial" w:hAnsi="Arial"/>
                <w:sz w:val="34"/>
                <w:szCs w:val="34"/>
                <w:color w:val="0000FF"/>
                <w:w w:val="74"/>
                <w:vertAlign w:val="subscript"/>
              </w:rPr>
              <w:t>798</w:t>
            </w:r>
            <w:r>
              <w:rPr>
                <w:rFonts w:ascii="Arial" w:cs="Arial" w:eastAsia="Arial" w:hAnsi="Arial"/>
                <w:sz w:val="11"/>
                <w:szCs w:val="11"/>
                <w:color w:val="008000"/>
                <w:w w:val="74"/>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jc w:val="center"/>
              <w:ind w:left="533"/>
              <w:spacing w:after="0"/>
              <w:rPr>
                <w:sz w:val="20"/>
                <w:szCs w:val="20"/>
                <w:color w:val="auto"/>
              </w:rPr>
            </w:pPr>
            <w:r>
              <w:rPr>
                <w:rFonts w:ascii="Arial" w:cs="Arial" w:eastAsia="Arial" w:hAnsi="Arial"/>
                <w:sz w:val="17"/>
                <w:szCs w:val="17"/>
                <w:color w:val="0000FF"/>
                <w:w w:val="84"/>
              </w:rPr>
              <w:t>2</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872</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370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ind w:left="320"/>
              <w:spacing w:after="0"/>
              <w:rPr>
                <w:sz w:val="20"/>
                <w:szCs w:val="20"/>
                <w:color w:val="auto"/>
              </w:rPr>
            </w:pPr>
            <w:r>
              <w:rPr>
                <w:rFonts w:ascii="Arial" w:cs="Arial" w:eastAsia="Arial" w:hAnsi="Arial"/>
                <w:sz w:val="13"/>
                <w:szCs w:val="13"/>
                <w:color w:val="0000FF"/>
              </w:rPr>
              <w:t>370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720 Common Shares became vested on December 31, 2010, and 337 of these shares were withheld by the Company to satisfy the Reporting Person's tax withholding obligations in respect of such vesting event.</w:t>
      </w:r>
    </w:p>
    <w:p>
      <w:pPr>
        <w:spacing w:after="0" w:line="61"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reclassification of 720 Common Shares from Restricted to unrestricted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 are convertible into Common Shares on a 1 for 1 basis.</w:t>
      </w:r>
    </w:p>
    <w:p>
      <w:pPr>
        <w:spacing w:after="0" w:line="49" w:lineRule="exact"/>
        <w:rPr>
          <w:rFonts w:ascii="Arial" w:cs="Arial" w:eastAsia="Arial" w:hAnsi="Arial"/>
          <w:sz w:val="13"/>
          <w:szCs w:val="13"/>
          <w:color w:val="008000"/>
        </w:rPr>
      </w:pPr>
    </w:p>
    <w:p>
      <w:pPr>
        <w:ind w:left="40" w:right="2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a deferred compensation account and are payable in cash upon the earlier of the date when the Reporting Person ceases to be an employee of the Company or its subsidiaries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01/04/2011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5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19th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Gary C.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2019-12-18T13:31:48Z</dcterms:created>
  <dcterms:modified xsi:type="dcterms:W3CDTF">2019-12-18T13:31:48Z</dcterms:modified>
</cp:coreProperties>
</file>