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FOY DAVID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08/25/2016</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08/25/2016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500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2"/>
              <w:spacing w:after="0"/>
              <w:rPr>
                <w:sz w:val="20"/>
                <w:szCs w:val="20"/>
                <w:color w:val="auto"/>
              </w:rPr>
            </w:pPr>
            <w:r>
              <w:rPr>
                <w:rFonts w:ascii="Arial" w:cs="Arial" w:eastAsia="Arial" w:hAnsi="Arial"/>
                <w:sz w:val="18"/>
                <w:szCs w:val="18"/>
                <w:color w:val="0000FF"/>
                <w:w w:val="88"/>
              </w:rPr>
              <w:t>8,900</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center"/>
              <w:ind w:right="352"/>
              <w:spacing w:after="0"/>
              <w:rPr>
                <w:sz w:val="20"/>
                <w:szCs w:val="20"/>
                <w:color w:val="auto"/>
              </w:rPr>
            </w:pPr>
            <w:r>
              <w:rPr>
                <w:rFonts w:ascii="Arial" w:cs="Arial" w:eastAsia="Arial" w:hAnsi="Arial"/>
                <w:sz w:val="18"/>
                <w:szCs w:val="18"/>
                <w:color w:val="0000FF"/>
                <w:w w:val="87"/>
              </w:rPr>
              <w:t>24,525</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jc w:val="center"/>
              <w:ind w:right="332"/>
              <w:spacing w:after="0"/>
              <w:rPr>
                <w:sz w:val="20"/>
                <w:szCs w:val="20"/>
                <w:color w:val="auto"/>
              </w:rPr>
            </w:pPr>
            <w:r>
              <w:rPr>
                <w:rFonts w:ascii="Arial" w:cs="Arial" w:eastAsia="Arial" w:hAnsi="Arial"/>
                <w:sz w:val="18"/>
                <w:szCs w:val="18"/>
                <w:color w:val="0000FF"/>
                <w:w w:val="89"/>
              </w:rPr>
              <w:t>72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On August 25, 2016, the Reporting Person received a restricted share award of 500 Common Shares, which vests on January 1, 2019.</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08/25/2016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1999"/>
        <w:spacing w:after="0" w:line="470" w:lineRule="auto"/>
        <w:rPr>
          <w:sz w:val="20"/>
          <w:szCs w:val="20"/>
          <w:color w:val="auto"/>
        </w:rPr>
      </w:pPr>
      <w:r>
        <w:rPr>
          <w:rFonts w:ascii="Courier New" w:cs="Courier New" w:eastAsia="Courier New" w:hAnsi="Courier New"/>
          <w:sz w:val="18"/>
          <w:szCs w:val="18"/>
          <w:color w:val="auto"/>
        </w:rPr>
        <w:t>constitutes and appoints each of Robert L. Seelig, Managing Director &amp; General Counsel, and Jennifer L. Pitts, Secretary, of White</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Mountains Insurance Group, Ltd.,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David Foy</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131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2019-12-24T09:13:58Z</dcterms:created>
  <dcterms:modified xsi:type="dcterms:W3CDTF">2019-12-24T09:13:58Z</dcterms:modified>
</cp:coreProperties>
</file>