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Rountree George Manning</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520"/>
              <w:spacing w:after="0"/>
              <w:rPr>
                <w:sz w:val="20"/>
                <w:szCs w:val="20"/>
                <w:color w:val="auto"/>
              </w:rPr>
            </w:pPr>
            <w:r>
              <w:rPr>
                <w:rFonts w:ascii="Arial" w:cs="Arial" w:eastAsia="Arial" w:hAnsi="Arial"/>
                <w:sz w:val="18"/>
                <w:szCs w:val="18"/>
                <w:color w:val="0000FF"/>
              </w:rPr>
              <w:t>Managing Director</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09/19/2011</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09/19/2011</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1,607</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3"/>
          </w:tcPr>
          <w:p>
            <w:pPr>
              <w:jc w:val="right"/>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396</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5"/>
              <w:spacing w:after="0"/>
              <w:rPr>
                <w:sz w:val="20"/>
                <w:szCs w:val="20"/>
                <w:color w:val="auto"/>
              </w:rPr>
            </w:pPr>
            <w:r>
              <w:rPr>
                <w:rFonts w:ascii="Arial" w:cs="Arial" w:eastAsia="Arial" w:hAnsi="Arial"/>
                <w:sz w:val="18"/>
                <w:szCs w:val="18"/>
                <w:color w:val="0000FF"/>
                <w:w w:val="88"/>
              </w:rPr>
              <w:t>1,700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center"/>
              <w:ind w:right="335"/>
              <w:spacing w:after="0"/>
              <w:rPr>
                <w:sz w:val="20"/>
                <w:szCs w:val="20"/>
                <w:color w:val="auto"/>
              </w:rPr>
            </w:pPr>
            <w:r>
              <w:rPr>
                <w:rFonts w:ascii="Arial" w:cs="Arial" w:eastAsia="Arial" w:hAnsi="Arial"/>
                <w:sz w:val="18"/>
                <w:szCs w:val="18"/>
                <w:color w:val="0000FF"/>
                <w:w w:val="88"/>
              </w:rPr>
              <w:t>4,900</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vMerge w:val="restart"/>
          </w:tcPr>
          <w:p>
            <w:pPr>
              <w:jc w:val="center"/>
              <w:ind w:right="355"/>
              <w:spacing w:after="0"/>
              <w:rPr>
                <w:sz w:val="20"/>
                <w:szCs w:val="20"/>
                <w:color w:val="auto"/>
              </w:rPr>
            </w:pPr>
            <w:r>
              <w:rPr>
                <w:rFonts w:ascii="Arial" w:cs="Arial" w:eastAsia="Arial" w:hAnsi="Arial"/>
                <w:sz w:val="35"/>
                <w:szCs w:val="35"/>
                <w:color w:val="0000FF"/>
                <w:w w:val="76"/>
                <w:vertAlign w:val="subscript"/>
              </w:rPr>
              <w:t>55</w:t>
            </w:r>
            <w:r>
              <w:rPr>
                <w:rFonts w:ascii="Arial" w:cs="Arial" w:eastAsia="Arial" w:hAnsi="Arial"/>
                <w:sz w:val="11"/>
                <w:szCs w:val="11"/>
                <w:color w:val="008000"/>
                <w:w w:val="76"/>
              </w:rPr>
              <w:t>(2)</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5"/>
          </w:tcPr>
          <w:p>
            <w:pPr>
              <w:spacing w:after="0"/>
              <w:rPr>
                <w:sz w:val="8"/>
                <w:szCs w:val="8"/>
                <w:color w:val="auto"/>
              </w:rPr>
            </w:pPr>
          </w:p>
        </w:tc>
        <w:tc>
          <w:tcPr>
            <w:tcW w:w="30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sold in an open market transaction.</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Since the date of Reporting Person's last filing, he acquired 9 shares of WTM Common Shares under a Company 401(k) Plan. Shares acquired in the Plan are purchased at fair market value on the date of purchase. The information in this report is based on a plan statement as of August 31, 2011.</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09/20/2011</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26th day of February 2009.</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G. Manning Rountree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747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2019-12-18T13:26:52Z</dcterms:created>
  <dcterms:modified xsi:type="dcterms:W3CDTF">2019-12-18T13:26:52Z</dcterms:modified>
</cp:coreProperties>
</file>