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40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401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Frinquelli Angelo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05/25/2016</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05/25/2016</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250</w:t>
            </w:r>
            <w:r>
              <w:rPr>
                <w:rFonts w:ascii="Arial" w:cs="Arial" w:eastAsia="Arial" w:hAnsi="Arial"/>
                <w:sz w:val="22"/>
                <w:szCs w:val="22"/>
                <w:color w:val="008000"/>
                <w:vertAlign w:val="superscript"/>
              </w:rPr>
              <w:t>(1)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1,391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10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700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children's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trusts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by wife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w w:val="88"/>
              </w:rPr>
              <w:t>Renaissance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Advisors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Director Share Award</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is the controlling shareholder of Renaissance Fund Advisors Inc. and disclaims beneficial ownership of the WTM Common Shares held by Renaissance Fund Advisors Inc. except to the extent of his pecuniary interest therein.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05/27/2016</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2019-12-24T09:20:42Z</dcterms:created>
  <dcterms:modified xsi:type="dcterms:W3CDTF">2019-12-24T09:20:42Z</dcterms:modified>
</cp:coreProperties>
</file>