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BERKOWITZ BRUCE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11/21/2007</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11/21/2007</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D</w:t>
            </w:r>
          </w:p>
        </w:tc>
        <w:tc>
          <w:tcPr>
            <w:tcW w:w="720" w:type="dxa"/>
            <w:vAlign w:val="bottom"/>
          </w:tcPr>
          <w:p>
            <w:pPr>
              <w:ind w:left="300"/>
              <w:spacing w:after="0"/>
              <w:rPr>
                <w:sz w:val="20"/>
                <w:szCs w:val="20"/>
                <w:color w:val="auto"/>
              </w:rPr>
            </w:pPr>
            <w:r>
              <w:rPr>
                <w:rFonts w:ascii="Arial" w:cs="Arial" w:eastAsia="Arial" w:hAnsi="Arial"/>
                <w:sz w:val="18"/>
                <w:szCs w:val="18"/>
                <w:color w:val="0000FF"/>
                <w:w w:val="88"/>
              </w:rPr>
              <w:t>8,500</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7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500</w:t>
            </w:r>
          </w:p>
        </w:tc>
        <w:tc>
          <w:tcPr>
            <w:tcW w:w="460" w:type="dxa"/>
            <w:vAlign w:val="bottom"/>
          </w:tcPr>
          <w:p>
            <w:pPr>
              <w:spacing w:after="0"/>
              <w:rPr>
                <w:sz w:val="18"/>
                <w:szCs w:val="18"/>
                <w:color w:val="auto"/>
              </w:rPr>
            </w:pPr>
          </w:p>
        </w:tc>
        <w:tc>
          <w:tcPr>
            <w:tcW w:w="800" w:type="dxa"/>
            <w:vAlign w:val="bottom"/>
          </w:tcPr>
          <w:p>
            <w:pPr>
              <w:jc w:val="center"/>
              <w:ind w:right="438"/>
              <w:spacing w:after="0" w:line="216" w:lineRule="exact"/>
              <w:rPr>
                <w:sz w:val="20"/>
                <w:szCs w:val="20"/>
                <w:color w:val="auto"/>
              </w:rPr>
            </w:pPr>
            <w:r>
              <w:rPr>
                <w:rFonts w:ascii="Arial" w:cs="Arial" w:eastAsia="Arial" w:hAnsi="Arial"/>
                <w:sz w:val="25"/>
                <w:szCs w:val="25"/>
                <w:color w:val="0000FF"/>
                <w:vertAlign w:val="subscript"/>
              </w:rPr>
              <w:t>0</w:t>
            </w:r>
            <w:r>
              <w:rPr>
                <w:rFonts w:ascii="Arial" w:cs="Arial" w:eastAsia="Arial" w:hAnsi="Arial"/>
                <w:sz w:val="10"/>
                <w:szCs w:val="10"/>
                <w:color w:val="008000"/>
              </w:rPr>
              <w:t>(1)</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center"/>
              <w:ind w:right="438"/>
              <w:spacing w:after="0"/>
              <w:rPr>
                <w:sz w:val="20"/>
                <w:szCs w:val="20"/>
                <w:color w:val="auto"/>
              </w:rPr>
            </w:pPr>
            <w:r>
              <w:rPr>
                <w:rFonts w:ascii="Arial" w:cs="Arial" w:eastAsia="Arial" w:hAnsi="Arial"/>
                <w:sz w:val="18"/>
                <w:szCs w:val="18"/>
                <w:color w:val="0000FF"/>
                <w:w w:val="86"/>
              </w:rPr>
              <w:t>100</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East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3"/>
          </w:tcPr>
          <w:p>
            <w:pPr>
              <w:jc w:val="center"/>
              <w:ind w:left="114"/>
              <w:spacing w:after="0" w:line="217" w:lineRule="exact"/>
              <w:rPr>
                <w:sz w:val="20"/>
                <w:szCs w:val="20"/>
                <w:color w:val="auto"/>
              </w:rPr>
            </w:pPr>
            <w:r>
              <w:rPr>
                <w:rFonts w:ascii="Arial" w:cs="Arial" w:eastAsia="Arial" w:hAnsi="Arial"/>
                <w:sz w:val="18"/>
                <w:szCs w:val="18"/>
                <w:color w:val="0000FF"/>
                <w:w w:val="82"/>
              </w:rPr>
              <w:t>7,074</w:t>
            </w:r>
            <w:r>
              <w:rPr>
                <w:rFonts w:ascii="Arial" w:cs="Arial" w:eastAsia="Arial" w:hAnsi="Arial"/>
                <w:sz w:val="22"/>
                <w:szCs w:val="22"/>
                <w:color w:val="008000"/>
                <w:w w:val="82"/>
                <w:vertAlign w:val="superscript"/>
              </w:rPr>
              <w:t>(2)</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Lane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Of the shares disposed, Fairholme Ventures II, LLC ("Fairholme Ventures") was the beneficial owner of 1,500 Common Shares of WTM and Fairholme Funds, Inc./The Fairholme Fund (the "Fairholme Fund") was the beneficial owner of 7,000 Common Shares of WTM. The reporting person is the Managing Member of Fairholme Capital which is the Managing Member of Fairholme Ventures and the Investment Adviser to Fairholme Fund. The reporting person disclaims beneficial ownership of the WTM Common Shares owned by Fairholme Ventures and Fairholme Fund except to the extent of his pecuniary interest therein.</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Managing Member of East Lane.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11/26/2007</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Michael S. Paquette, Vice President, of White Mountains Capital, Inc.,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22nd day of February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Bruce R. Berkowitz</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43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2019-12-18T13:33:29Z</dcterms:created>
  <dcterms:modified xsi:type="dcterms:W3CDTF">2019-12-18T13:33:29Z</dcterms:modified>
</cp:coreProperties>
</file>