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03/06/2009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03/06/2009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right"/>
              <w:ind w:right="41"/>
              <w:spacing w:after="0" w:line="324" w:lineRule="exact"/>
              <w:rPr>
                <w:sz w:val="20"/>
                <w:szCs w:val="20"/>
                <w:color w:val="auto"/>
              </w:rPr>
            </w:pPr>
            <w:r>
              <w:rPr>
                <w:rFonts w:ascii="Arial" w:cs="Arial" w:eastAsia="Arial" w:hAnsi="Arial"/>
                <w:sz w:val="35"/>
                <w:szCs w:val="35"/>
                <w:color w:val="0000FF"/>
                <w:vertAlign w:val="subscript"/>
              </w:rPr>
              <w:t>74</w:t>
            </w:r>
            <w:r>
              <w:rPr>
                <w:rFonts w:ascii="Arial" w:cs="Arial" w:eastAsia="Arial" w:hAnsi="Arial"/>
                <w:sz w:val="11"/>
                <w:szCs w:val="11"/>
                <w:color w:val="008000"/>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6"/>
              </w:rPr>
              <w:t>774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03/09/2009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right"/>
              <w:ind w:right="41"/>
              <w:spacing w:after="0" w:line="324" w:lineRule="exact"/>
              <w:rPr>
                <w:sz w:val="20"/>
                <w:szCs w:val="20"/>
                <w:color w:val="auto"/>
              </w:rPr>
            </w:pPr>
            <w:r>
              <w:rPr>
                <w:rFonts w:ascii="Arial" w:cs="Arial" w:eastAsia="Arial" w:hAnsi="Arial"/>
                <w:sz w:val="35"/>
                <w:szCs w:val="35"/>
                <w:color w:val="0000FF"/>
                <w:vertAlign w:val="subscript"/>
              </w:rPr>
              <w:t>76</w:t>
            </w:r>
            <w:r>
              <w:rPr>
                <w:rFonts w:ascii="Arial" w:cs="Arial" w:eastAsia="Arial" w:hAnsi="Arial"/>
                <w:sz w:val="11"/>
                <w:szCs w:val="11"/>
                <w:color w:val="008000"/>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149.08</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6"/>
              </w:rPr>
              <w:t>850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1"/>
              <w:spacing w:after="0"/>
              <w:rPr>
                <w:sz w:val="20"/>
                <w:szCs w:val="20"/>
                <w:color w:val="auto"/>
              </w:rPr>
            </w:pPr>
            <w:r>
              <w:rPr>
                <w:rFonts w:ascii="Arial" w:cs="Arial" w:eastAsia="Arial" w:hAnsi="Arial"/>
                <w:sz w:val="18"/>
                <w:szCs w:val="18"/>
                <w:color w:val="0000FF"/>
                <w:w w:val="88"/>
              </w:rPr>
              <w:t>6,500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1"/>
              <w:spacing w:after="0"/>
              <w:rPr>
                <w:sz w:val="20"/>
                <w:szCs w:val="20"/>
                <w:color w:val="auto"/>
              </w:rPr>
            </w:pPr>
            <w:r>
              <w:rPr>
                <w:rFonts w:ascii="Arial" w:cs="Arial" w:eastAsia="Arial" w:hAnsi="Arial"/>
                <w:sz w:val="18"/>
                <w:szCs w:val="18"/>
                <w:color w:val="0000FF"/>
                <w:w w:val="86"/>
              </w:rPr>
              <w:t>178</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Common Shares acquired in open market transaction.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2019-12-18T13:49:56Z</dcterms:created>
  <dcterms:modified xsi:type="dcterms:W3CDTF">2019-12-18T13:49:56Z</dcterms:modified>
</cp:coreProperties>
</file>