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SMITH LOWNDES ANDREW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05/24/2012</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1"/>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05/24/2012</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3"/>
              </w:rPr>
              <w:t>200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1,802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color w:val="008000"/>
              </w:rPr>
              <w:t>1. Annual Director Share Award.</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8"/>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05/29/2012</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8"/>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13th day of January 2009.</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Lowndes A. Smith</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030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2019-12-18T12:59:15Z</dcterms:created>
  <dcterms:modified xsi:type="dcterms:W3CDTF">2019-12-18T12:59:15Z</dcterms:modified>
</cp:coreProperties>
</file>