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03/01/2017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03/01/2017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560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2"/>
              <w:spacing w:after="0"/>
              <w:rPr>
                <w:sz w:val="20"/>
                <w:szCs w:val="20"/>
                <w:color w:val="auto"/>
              </w:rPr>
            </w:pPr>
            <w:r>
              <w:rPr>
                <w:rFonts w:ascii="Arial" w:cs="Arial" w:eastAsia="Arial" w:hAnsi="Arial"/>
                <w:sz w:val="18"/>
                <w:szCs w:val="18"/>
                <w:color w:val="0000FF"/>
                <w:w w:val="88"/>
              </w:rPr>
              <w:t>1,820</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ind w:right="372"/>
              <w:spacing w:after="0"/>
              <w:rPr>
                <w:sz w:val="20"/>
                <w:szCs w:val="20"/>
                <w:color w:val="auto"/>
              </w:rPr>
            </w:pPr>
            <w:r>
              <w:rPr>
                <w:rFonts w:ascii="Arial" w:cs="Arial" w:eastAsia="Arial" w:hAnsi="Arial"/>
                <w:sz w:val="18"/>
                <w:szCs w:val="18"/>
                <w:color w:val="0000FF"/>
                <w:w w:val="88"/>
              </w:rPr>
              <w:t>1,272</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6"/>
              </w:rPr>
              <w:t>387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March 1, 2017, the Reporting Person received a restricted share award of 560 Common Shares, which vests on January 1, 2020.</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2019-12-24T09:13:38Z</dcterms:created>
  <dcterms:modified xsi:type="dcterms:W3CDTF">2019-12-24T09:13:38Z</dcterms:modified>
</cp:coreProperties>
</file>