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Rountree George Manning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WHITE MOUNTAINS INSURANCE</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GROUP 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ind w:left="340"/>
              <w:spacing w:after="0" w:line="192" w:lineRule="exact"/>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14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01/01/2023</w:t>
            </w: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23 S MAIN STREET, SUITE 3B</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NH</w:t>
            </w: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03755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HANOVER</w:t>
            </w:r>
          </w:p>
        </w:tc>
        <w:tc>
          <w:tcPr>
            <w:tcW w:w="30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4"/>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1,068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1,414.33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15,544</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5,400</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89"/>
              </w:rPr>
              <w:t>113</w:t>
            </w:r>
            <w:r>
              <w:rPr>
                <w:rFonts w:ascii="Times New Roman" w:cs="Times New Roman" w:eastAsia="Times New Roman" w:hAnsi="Times New Roman"/>
                <w:sz w:val="22"/>
                <w:szCs w:val="22"/>
                <w:color w:val="008000"/>
                <w:w w:val="89"/>
                <w:vertAlign w:val="superscript"/>
              </w:rPr>
              <w:t>(2)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 2023, 2,700 restricted Common Shares became unrestricted. 1,068 of the Common Shares were withheld by the Company to satisfy the Reporting Person's tax obligations.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accumulation of 4 Common Shares in Reporting Person's Company 401(k) account since his last filed report. The information in this report is based on a plan report dated as of December 23, 2022.</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33"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G. Manning Rountree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2023-01-03T13:15:59Z</dcterms:created>
  <dcterms:modified xsi:type="dcterms:W3CDTF">2023-01-03T13:15:59Z</dcterms:modified>
</cp:coreProperties>
</file>