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7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760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4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620"/>
              <w:spacing w:after="0" w:line="183"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04/28/2006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4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3,958</w:t>
            </w:r>
            <w:r>
              <w:rPr>
                <w:rFonts w:ascii="Arial" w:cs="Arial" w:eastAsia="Arial" w:hAnsi="Arial"/>
                <w:sz w:val="22"/>
                <w:szCs w:val="22"/>
                <w:color w:val="008000"/>
                <w:vertAlign w:val="superscript"/>
              </w:rPr>
              <w:t>(1)</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0"/>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restart"/>
          </w:tcPr>
          <w:p>
            <w:pPr>
              <w:jc w:val="center"/>
              <w:ind w:left="179"/>
              <w:spacing w:after="0"/>
              <w:rPr>
                <w:sz w:val="20"/>
                <w:szCs w:val="20"/>
                <w:color w:val="auto"/>
              </w:rPr>
            </w:pPr>
            <w:r>
              <w:rPr>
                <w:rFonts w:ascii="Arial" w:cs="Arial" w:eastAsia="Arial" w:hAnsi="Arial"/>
                <w:sz w:val="13"/>
                <w:szCs w:val="13"/>
                <w:color w:val="0000FF"/>
                <w:w w:val="95"/>
              </w:rPr>
              <w:t>14,229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ind w:left="220"/>
              <w:spacing w:after="0"/>
              <w:rPr>
                <w:sz w:val="20"/>
                <w:szCs w:val="20"/>
                <w:color w:val="auto"/>
              </w:rPr>
            </w:pPr>
            <w:r>
              <w:rPr>
                <w:rFonts w:ascii="Arial" w:cs="Arial" w:eastAsia="Arial" w:hAnsi="Arial"/>
                <w:sz w:val="13"/>
                <w:szCs w:val="13"/>
                <w:color w:val="0000FF"/>
              </w:rPr>
              <w:t>04/28/2006</w:t>
            </w:r>
          </w:p>
        </w:tc>
        <w:tc>
          <w:tcPr>
            <w:tcW w:w="1100" w:type="dxa"/>
            <w:vAlign w:val="bottom"/>
          </w:tcPr>
          <w:p>
            <w:pPr>
              <w:spacing w:after="0"/>
              <w:rPr>
                <w:sz w:val="16"/>
                <w:szCs w:val="16"/>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0000FF"/>
              </w:rPr>
              <w:t>I</w:t>
            </w:r>
          </w:p>
        </w:tc>
        <w:tc>
          <w:tcPr>
            <w:tcW w:w="20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1,000</w:t>
            </w:r>
          </w:p>
        </w:tc>
        <w:tc>
          <w:tcPr>
            <w:tcW w:w="300" w:type="dxa"/>
            <w:vAlign w:val="bottom"/>
          </w:tcPr>
          <w:p>
            <w:pPr>
              <w:spacing w:after="0"/>
              <w:rPr>
                <w:sz w:val="16"/>
                <w:szCs w:val="16"/>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line="194" w:lineRule="exact"/>
              <w:rPr>
                <w:sz w:val="20"/>
                <w:szCs w:val="20"/>
                <w:color w:val="auto"/>
              </w:rPr>
            </w:pPr>
            <w:r>
              <w:rPr>
                <w:rFonts w:ascii="Arial" w:cs="Arial" w:eastAsia="Arial" w:hAnsi="Arial"/>
                <w:sz w:val="17"/>
                <w:szCs w:val="17"/>
                <w:color w:val="0000FF"/>
                <w:w w:val="93"/>
              </w:rPr>
              <w:t>1,000</w:t>
            </w:r>
          </w:p>
        </w:tc>
        <w:tc>
          <w:tcPr>
            <w:tcW w:w="7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508</w:t>
            </w:r>
          </w:p>
        </w:tc>
        <w:tc>
          <w:tcPr>
            <w:tcW w:w="620" w:type="dxa"/>
            <w:vAlign w:val="bottom"/>
          </w:tcPr>
          <w:p>
            <w:pPr>
              <w:jc w:val="center"/>
              <w:ind w:left="179"/>
              <w:spacing w:after="0"/>
              <w:rPr>
                <w:sz w:val="20"/>
                <w:szCs w:val="20"/>
                <w:color w:val="auto"/>
              </w:rPr>
            </w:pPr>
            <w:r>
              <w:rPr>
                <w:rFonts w:ascii="Arial" w:cs="Arial" w:eastAsia="Arial" w:hAnsi="Arial"/>
                <w:sz w:val="13"/>
                <w:szCs w:val="13"/>
                <w:color w:val="0000FF"/>
                <w:w w:val="92"/>
              </w:rPr>
              <w:t>4,127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Pr>
          <w:p>
            <w:pPr>
              <w:ind w:left="60"/>
              <w:spacing w:after="0" w:line="97" w:lineRule="exact"/>
              <w:rPr>
                <w:sz w:val="20"/>
                <w:szCs w:val="20"/>
                <w:color w:val="auto"/>
              </w:rPr>
            </w:pPr>
            <w:r>
              <w:rPr>
                <w:rFonts w:ascii="Arial" w:cs="Arial" w:eastAsia="Arial" w:hAnsi="Arial"/>
                <w:sz w:val="11"/>
                <w:szCs w:val="11"/>
                <w:color w:val="0000FF"/>
              </w:rPr>
              <w:t>(Deferred</w:t>
            </w: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Shares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02/28/2010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vMerge w:val="restart"/>
          </w:tcPr>
          <w:p>
            <w:pPr>
              <w:jc w:val="center"/>
              <w:ind w:left="179"/>
              <w:spacing w:after="0"/>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2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March 23, 2006, the date of Reporting Person's last filing, Reporting Person acquired 24 shares of WTM Common Shares under the Folksamerica 401(k) Plan. WTM Common Shares are purchased at fair market value on the date of purchase. The information in this report is based on a plan statement dated as of March 31, 2006.</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05/01/2006</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497"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2019-12-17T10:32:52Z</dcterms:created>
  <dcterms:modified xsi:type="dcterms:W3CDTF">2019-12-17T10:32:52Z</dcterms:modified>
</cp:coreProperties>
</file>