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1,945.06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January 1, 2025, 750 restricted Common Shares became unrestricted. 323 of the Common Shares were withheld by the Company to satisfy the Reporting Person's tax obligations.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Bell,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00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2025-01-03T08:26:22Z</dcterms:created>
  <dcterms:modified xsi:type="dcterms:W3CDTF">2025-01-03T08:26:22Z</dcterms:modified>
</cp:coreProperties>
</file>