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6"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-641350</wp:posOffset>
            </wp:positionV>
            <wp:extent cx="59055" cy="654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68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-641350</wp:posOffset>
            </wp:positionV>
            <wp:extent cx="59055" cy="654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68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18415</wp:posOffset>
            </wp:positionV>
            <wp:extent cx="7324090" cy="5949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94931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20" w:space="380"/>
            <w:col w:w="8820"/>
          </w:cols>
          <w:pgMar w:left="240" w:top="224" w:right="139" w:bottom="108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GILLESPIE JOHN DAVIES</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right="180"/>
        <w:spacing w:after="0" w:line="350" w:lineRule="auto"/>
        <w:rPr>
          <w:sz w:val="20"/>
          <w:szCs w:val="20"/>
          <w:color w:val="auto"/>
        </w:rPr>
      </w:pPr>
      <w:r>
        <w:rPr>
          <w:rFonts w:ascii="Arial" w:cs="Arial" w:eastAsia="Arial" w:hAnsi="Arial"/>
          <w:sz w:val="17"/>
          <w:szCs w:val="17"/>
          <w:color w:val="0000FF"/>
        </w:rPr>
        <w:t>C/O WHITE MOUNTAINS INSURANCE GROUP 80 SOUTH MAIN STREET</w:t>
      </w:r>
    </w:p>
    <w:p>
      <w:pPr>
        <w:spacing w:after="0" w:line="191"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3980" w:type="dxa"/>
            <w:vAlign w:val="bottom"/>
            <w:gridSpan w:val="4"/>
            <w:vMerge w:val="restart"/>
          </w:tcPr>
          <w:p>
            <w:pPr>
              <w:ind w:left="60"/>
              <w:spacing w:after="0" w:line="21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1"/>
                <w:szCs w:val="11"/>
                <w:color w:val="auto"/>
              </w:rPr>
            </w:pPr>
          </w:p>
        </w:tc>
        <w:tc>
          <w:tcPr>
            <w:tcW w:w="1160" w:type="dxa"/>
            <w:vAlign w:val="bottom"/>
            <w:tcBorders>
              <w:top w:val="single" w:sz="8" w:color="0000EE"/>
            </w:tcBorders>
          </w:tcPr>
          <w:p>
            <w:pPr>
              <w:spacing w:after="0"/>
              <w:rPr>
                <w:sz w:val="11"/>
                <w:szCs w:val="11"/>
                <w:color w:val="auto"/>
              </w:rPr>
            </w:pPr>
          </w:p>
        </w:tc>
        <w:tc>
          <w:tcPr>
            <w:tcW w:w="2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6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00" w:type="dxa"/>
            <w:vAlign w:val="bottom"/>
          </w:tcPr>
          <w:p>
            <w:pPr>
              <w:spacing w:after="0"/>
              <w:rPr>
                <w:sz w:val="8"/>
                <w:szCs w:val="8"/>
                <w:color w:val="auto"/>
              </w:rPr>
            </w:pPr>
          </w:p>
        </w:tc>
        <w:tc>
          <w:tcPr>
            <w:tcW w:w="1400" w:type="dxa"/>
            <w:vAlign w:val="bottom"/>
          </w:tcPr>
          <w:p>
            <w:pPr>
              <w:ind w:left="100"/>
              <w:spacing w:after="0" w:line="100" w:lineRule="exact"/>
              <w:rPr>
                <w:sz w:val="20"/>
                <w:szCs w:val="20"/>
                <w:color w:val="auto"/>
              </w:rPr>
            </w:pPr>
            <w:r>
              <w:rPr>
                <w:rFonts w:ascii="Arial" w:cs="Arial" w:eastAsia="Arial" w:hAnsi="Arial"/>
                <w:sz w:val="11"/>
                <w:szCs w:val="11"/>
                <w:color w:val="auto"/>
              </w:rPr>
              <w:t>below)</w:t>
            </w:r>
          </w:p>
        </w:tc>
        <w:tc>
          <w:tcPr>
            <w:tcW w:w="1520" w:type="dxa"/>
            <w:vAlign w:val="bottom"/>
          </w:tcPr>
          <w:p>
            <w:pPr>
              <w:ind w:left="340"/>
              <w:spacing w:after="0" w:line="100"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0"/>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10/06/2005</w:t>
            </w:r>
          </w:p>
        </w:tc>
        <w:tc>
          <w:tcPr>
            <w:tcW w:w="2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21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4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15" w:lineRule="exact"/>
        <w:rPr>
          <w:sz w:val="20"/>
          <w:szCs w:val="20"/>
          <w:color w:val="auto"/>
        </w:rPr>
      </w:pPr>
    </w:p>
    <w:p>
      <w:pPr>
        <w:sectPr>
          <w:pgSz w:w="11900" w:h="16838" w:orient="portrait"/>
          <w:cols w:equalWidth="0" w:num="2">
            <w:col w:w="3900" w:space="100"/>
            <w:col w:w="7520"/>
          </w:cols>
          <w:pgMar w:left="240" w:top="224" w:right="139" w:bottom="108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60" w:type="dxa"/>
            <w:vAlign w:val="bottom"/>
          </w:tcPr>
          <w:p>
            <w:pPr>
              <w:spacing w:after="0"/>
              <w:rPr>
                <w:sz w:val="13"/>
                <w:szCs w:val="13"/>
                <w:color w:val="auto"/>
              </w:rPr>
            </w:pP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540"/>
              <w:spacing w:after="0" w:line="130"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60" w:type="dxa"/>
            <w:vAlign w:val="bottom"/>
            <w:gridSpan w:val="2"/>
          </w:tcPr>
          <w:p>
            <w:pPr>
              <w:ind w:left="540"/>
              <w:spacing w:after="0" w:line="132"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Beneficially</w:t>
            </w:r>
          </w:p>
        </w:tc>
        <w:tc>
          <w:tcPr>
            <w:tcW w:w="50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7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10/06/2005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4"/>
              <w:spacing w:after="0"/>
              <w:rPr>
                <w:sz w:val="20"/>
                <w:szCs w:val="20"/>
                <w:color w:val="auto"/>
              </w:rPr>
            </w:pPr>
            <w:r>
              <w:rPr>
                <w:rFonts w:ascii="Arial" w:cs="Arial" w:eastAsia="Arial" w:hAnsi="Arial"/>
                <w:sz w:val="17"/>
                <w:szCs w:val="17"/>
                <w:color w:val="0000FF"/>
                <w:w w:val="82"/>
              </w:rPr>
              <w:t>405</w:t>
            </w:r>
            <w:r>
              <w:rPr>
                <w:rFonts w:ascii="Arial" w:cs="Arial" w:eastAsia="Arial" w:hAnsi="Arial"/>
                <w:sz w:val="22"/>
                <w:szCs w:val="22"/>
                <w:color w:val="008000"/>
                <w:w w:val="82"/>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2,081</w:t>
            </w:r>
          </w:p>
        </w:tc>
        <w:tc>
          <w:tcPr>
            <w:tcW w:w="3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7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10/06/2005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14"/>
              <w:spacing w:after="0"/>
              <w:rPr>
                <w:sz w:val="20"/>
                <w:szCs w:val="20"/>
                <w:color w:val="auto"/>
              </w:rPr>
            </w:pPr>
            <w:r>
              <w:rPr>
                <w:rFonts w:ascii="Arial" w:cs="Arial" w:eastAsia="Arial" w:hAnsi="Arial"/>
                <w:sz w:val="17"/>
                <w:szCs w:val="17"/>
                <w:color w:val="0000FF"/>
                <w:w w:val="82"/>
              </w:rPr>
              <w:t>405</w:t>
            </w:r>
            <w:r>
              <w:rPr>
                <w:rFonts w:ascii="Arial" w:cs="Arial" w:eastAsia="Arial" w:hAnsi="Arial"/>
                <w:sz w:val="22"/>
                <w:szCs w:val="22"/>
                <w:color w:val="008000"/>
                <w:w w:val="82"/>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603.19</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1,676</w:t>
            </w:r>
          </w:p>
        </w:tc>
        <w:tc>
          <w:tcPr>
            <w:tcW w:w="3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62,000</w:t>
            </w:r>
          </w:p>
        </w:tc>
        <w:tc>
          <w:tcPr>
            <w:tcW w:w="340" w:type="dxa"/>
            <w:vAlign w:val="bottom"/>
          </w:tcPr>
          <w:p>
            <w:pPr>
              <w:spacing w:after="0"/>
              <w:rPr>
                <w:sz w:val="22"/>
                <w:szCs w:val="22"/>
                <w:color w:val="auto"/>
              </w:rPr>
            </w:pPr>
          </w:p>
        </w:tc>
        <w:tc>
          <w:tcPr>
            <w:tcW w:w="560" w:type="dxa"/>
            <w:vAlign w:val="bottom"/>
            <w:vMerge w:val="restart"/>
          </w:tcPr>
          <w:p>
            <w:pPr>
              <w:jc w:val="center"/>
              <w:ind w:right="31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2"/>
                <w:szCs w:val="22"/>
                <w:color w:val="008000"/>
                <w:w w:val="91"/>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left="394"/>
              <w:spacing w:after="0"/>
              <w:rPr>
                <w:sz w:val="20"/>
                <w:szCs w:val="20"/>
                <w:color w:val="auto"/>
              </w:rPr>
            </w:pPr>
            <w:r>
              <w:rPr>
                <w:rFonts w:ascii="Arial" w:cs="Arial" w:eastAsia="Arial" w:hAnsi="Arial"/>
                <w:sz w:val="17"/>
                <w:szCs w:val="17"/>
                <w:color w:val="0000FF"/>
                <w:w w:val="94"/>
              </w:rPr>
              <w:t>22</w:t>
            </w: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jc w:val="center"/>
              <w:ind w:right="31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By 401(K)</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6540" w:type="dxa"/>
            <w:vAlign w:val="bottom"/>
            <w:tcBorders>
              <w:bottom w:val="single" w:sz="8" w:color="2C2C2C"/>
            </w:tcBorders>
            <w:gridSpan w:val="9"/>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1"/>
          </w:tcPr>
          <w:p>
            <w:pPr>
              <w:jc w:val="center"/>
              <w:ind w:left="55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9"/>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spacing w:after="0" w:line="132"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8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8"/>
              </w:rPr>
              <w:t>Expiration</w:t>
            </w:r>
          </w:p>
        </w:tc>
        <w:tc>
          <w:tcPr>
            <w:tcW w:w="660" w:type="dxa"/>
            <w:vAlign w:val="bottom"/>
          </w:tcPr>
          <w:p>
            <w:pPr>
              <w:spacing w:after="0"/>
              <w:rPr>
                <w:sz w:val="11"/>
                <w:szCs w:val="11"/>
                <w:color w:val="auto"/>
              </w:rPr>
            </w:pPr>
          </w:p>
        </w:tc>
        <w:tc>
          <w:tcPr>
            <w:tcW w:w="6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(4)</w:t>
            </w:r>
          </w:p>
        </w:tc>
        <w:tc>
          <w:tcPr>
            <w:tcW w:w="1060" w:type="dxa"/>
            <w:vAlign w:val="bottom"/>
            <w:vMerge w:val="restart"/>
          </w:tcPr>
          <w:p>
            <w:pPr>
              <w:jc w:val="right"/>
              <w:ind w:right="174"/>
              <w:spacing w:after="0"/>
              <w:rPr>
                <w:sz w:val="20"/>
                <w:szCs w:val="20"/>
                <w:color w:val="auto"/>
              </w:rPr>
            </w:pPr>
            <w:r>
              <w:rPr>
                <w:rFonts w:ascii="Arial" w:cs="Arial" w:eastAsia="Arial" w:hAnsi="Arial"/>
                <w:sz w:val="13"/>
                <w:szCs w:val="13"/>
                <w:color w:val="0000FF"/>
              </w:rPr>
              <w:t>10/06/2005</w:t>
            </w:r>
          </w:p>
        </w:tc>
        <w:tc>
          <w:tcPr>
            <w:tcW w:w="1120" w:type="dxa"/>
            <w:vAlign w:val="bottom"/>
          </w:tcPr>
          <w:p>
            <w:pPr>
              <w:spacing w:after="0"/>
              <w:rPr>
                <w:sz w:val="12"/>
                <w:szCs w:val="12"/>
                <w:color w:val="auto"/>
              </w:rPr>
            </w:pPr>
          </w:p>
        </w:tc>
        <w:tc>
          <w:tcPr>
            <w:tcW w:w="4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2"/>
                <w:szCs w:val="12"/>
                <w:color w:val="auto"/>
              </w:rPr>
            </w:pPr>
          </w:p>
        </w:tc>
        <w:tc>
          <w:tcPr>
            <w:tcW w:w="700" w:type="dxa"/>
            <w:vAlign w:val="bottom"/>
            <w:vMerge w:val="restart"/>
          </w:tcPr>
          <w:p>
            <w:pPr>
              <w:ind w:left="320"/>
              <w:spacing w:after="0" w:line="273" w:lineRule="exact"/>
              <w:rPr>
                <w:sz w:val="20"/>
                <w:szCs w:val="20"/>
                <w:color w:val="auto"/>
              </w:rPr>
            </w:pPr>
            <w:r>
              <w:rPr>
                <w:rFonts w:ascii="Arial" w:cs="Arial" w:eastAsia="Arial" w:hAnsi="Arial"/>
                <w:sz w:val="26"/>
                <w:szCs w:val="26"/>
                <w:color w:val="0000FF"/>
                <w:w w:val="84"/>
                <w:vertAlign w:val="subscript"/>
              </w:rPr>
              <w:t>405</w:t>
            </w:r>
            <w:r>
              <w:rPr>
                <w:rFonts w:ascii="Arial" w:cs="Arial" w:eastAsia="Arial" w:hAnsi="Arial"/>
                <w:sz w:val="11"/>
                <w:szCs w:val="11"/>
                <w:color w:val="008000"/>
                <w:w w:val="84"/>
              </w:rPr>
              <w:t>(1)</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66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80" w:type="dxa"/>
            <w:vAlign w:val="bottom"/>
            <w:vMerge w:val="restart"/>
          </w:tcPr>
          <w:p>
            <w:pPr>
              <w:jc w:val="center"/>
              <w:spacing w:after="0"/>
              <w:rPr>
                <w:sz w:val="20"/>
                <w:szCs w:val="20"/>
                <w:color w:val="auto"/>
              </w:rPr>
            </w:pPr>
            <w:r>
              <w:rPr>
                <w:rFonts w:ascii="Arial" w:cs="Arial" w:eastAsia="Arial" w:hAnsi="Arial"/>
                <w:sz w:val="17"/>
                <w:szCs w:val="17"/>
                <w:color w:val="0000FF"/>
                <w:w w:val="91"/>
              </w:rPr>
              <w:t>405</w:t>
            </w:r>
          </w:p>
        </w:tc>
        <w:tc>
          <w:tcPr>
            <w:tcW w:w="60" w:type="dxa"/>
            <w:vAlign w:val="bottom"/>
          </w:tcPr>
          <w:p>
            <w:pPr>
              <w:spacing w:after="0"/>
              <w:rPr>
                <w:sz w:val="12"/>
                <w:szCs w:val="12"/>
                <w:color w:val="auto"/>
              </w:rPr>
            </w:pPr>
          </w:p>
        </w:tc>
        <w:tc>
          <w:tcPr>
            <w:tcW w:w="720" w:type="dxa"/>
            <w:vAlign w:val="bottom"/>
            <w:vMerge w:val="restart"/>
          </w:tcPr>
          <w:p>
            <w:pPr>
              <w:ind w:left="240"/>
              <w:spacing w:after="0"/>
              <w:rPr>
                <w:sz w:val="20"/>
                <w:szCs w:val="20"/>
                <w:color w:val="auto"/>
              </w:rPr>
            </w:pPr>
            <w:r>
              <w:rPr>
                <w:rFonts w:ascii="Arial" w:cs="Arial" w:eastAsia="Arial" w:hAnsi="Arial"/>
                <w:sz w:val="11"/>
                <w:szCs w:val="11"/>
                <w:color w:val="008000"/>
              </w:rPr>
              <w:t>(2)</w:t>
            </w:r>
          </w:p>
        </w:tc>
        <w:tc>
          <w:tcPr>
            <w:tcW w:w="840" w:type="dxa"/>
            <w:vAlign w:val="bottom"/>
            <w:gridSpan w:val="2"/>
            <w:vMerge w:val="restart"/>
          </w:tcPr>
          <w:p>
            <w:pPr>
              <w:ind w:left="260"/>
              <w:spacing w:after="0"/>
              <w:rPr>
                <w:sz w:val="20"/>
                <w:szCs w:val="20"/>
                <w:color w:val="auto"/>
              </w:rPr>
            </w:pPr>
            <w:r>
              <w:rPr>
                <w:rFonts w:ascii="Arial" w:cs="Arial" w:eastAsia="Arial" w:hAnsi="Arial"/>
                <w:sz w:val="13"/>
                <w:szCs w:val="13"/>
                <w:color w:val="0000FF"/>
              </w:rPr>
              <w:t>3,641</w:t>
            </w:r>
          </w:p>
        </w:tc>
        <w:tc>
          <w:tcPr>
            <w:tcW w:w="560" w:type="dxa"/>
            <w:vAlign w:val="bottom"/>
            <w:vMerge w:val="restart"/>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Shares</w:t>
            </w:r>
          </w:p>
        </w:tc>
        <w:tc>
          <w:tcPr>
            <w:tcW w:w="5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32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payment of deferred compensation as a result of the Reporting Person's separation of employment from WTM. Payments are due in cash in ten equal annual installments commencing on October 6, 2005.</w:t>
      </w:r>
    </w:p>
    <w:p>
      <w:pPr>
        <w:spacing w:after="0" w:line="20"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Phantom Share was the economic equivalent of one WTM Common Share. The Reporting Person settled his Phantom Shares for cash.</w:t>
      </w:r>
    </w:p>
    <w:p>
      <w:pPr>
        <w:spacing w:after="0" w:line="48" w:lineRule="exact"/>
        <w:rPr>
          <w:rFonts w:ascii="Arial" w:cs="Arial" w:eastAsia="Arial" w:hAnsi="Arial"/>
          <w:sz w:val="13"/>
          <w:szCs w:val="13"/>
          <w:color w:val="008000"/>
        </w:rPr>
      </w:pPr>
    </w:p>
    <w:p>
      <w:pPr>
        <w:jc w:val="both"/>
        <w:ind w:left="40" w:right="280" w:firstLine="5"/>
        <w:spacing w:after="0" w:line="242"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Prospector Partners Fund L.P. ("Prospector") is the beneficial owner of 41,122 Common Shares; Prospector Offshore Fund (Bermuda) Ltd. ("Prospector Offshore") is the beneficial owner of 16,720 Common Shares; and Prospector Parnters Small Cap Fund L.P. ("Prospector Small Cap") is the beneficial owner of 4,158 Common Shares. Mr. Gillespie disclaims beneficial ownership of the Common Shares owned by Prospector, Prospector Offshore and Prospector Small Cap except to the extent of his pecuniary interest therein. Mr. Gillespie's interest is limited to that as the principal of the general partner of each of Prospector and Prospector Small Cap and as principal of the investment manager of Prospector Offshore.</w:t>
      </w:r>
    </w:p>
    <w:p>
      <w:pPr>
        <w:spacing w:after="0" w:line="31"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8" w:lineRule="exact"/>
        <w:rPr>
          <w:rFonts w:ascii="Arial" w:cs="Arial" w:eastAsia="Arial" w:hAnsi="Arial"/>
          <w:sz w:val="13"/>
          <w:szCs w:val="13"/>
          <w:color w:val="008000"/>
        </w:rPr>
      </w:pPr>
    </w:p>
    <w:p>
      <w:pPr>
        <w:ind w:left="40" w:right="30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as a result of the Reporting Person's separation of employment from WTM, in cash, in ten equal annual installments commencing on October 6, 2005. Final payment is due on October 6, 2014.</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6" w:lineRule="auto"/>
        <w:rPr>
          <w:sz w:val="20"/>
          <w:szCs w:val="20"/>
          <w:color w:val="auto"/>
        </w:rPr>
      </w:pPr>
      <w:r>
        <w:rPr>
          <w:rFonts w:ascii="Arial" w:cs="Arial" w:eastAsia="Arial" w:hAnsi="Arial"/>
          <w:sz w:val="17"/>
          <w:szCs w:val="17"/>
          <w:color w:val="0000FF"/>
        </w:rPr>
        <w:t xml:space="preserve">Dennis P. Beaulieu, by Power of </w:t>
      </w:r>
      <w:r>
        <w:rPr>
          <w:rFonts w:ascii="Arial" w:cs="Arial" w:eastAsia="Arial" w:hAnsi="Arial"/>
          <w:sz w:val="34"/>
          <w:szCs w:val="34"/>
          <w:color w:val="0000FF"/>
          <w:vertAlign w:val="subscript"/>
        </w:rPr>
        <w:t>10/07/2005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-27940</wp:posOffset>
            </wp:positionV>
            <wp:extent cx="14147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-17780</wp:posOffset>
            </wp:positionV>
            <wp:extent cx="3879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87985"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-85090</wp:posOffset>
            </wp:positionV>
            <wp:extent cx="4965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6570" cy="8255"/>
                    </a:xfrm>
                    <a:prstGeom prst="rect">
                      <a:avLst/>
                    </a:prstGeom>
                    <a:noFill/>
                  </pic:spPr>
                </pic:pic>
              </a:graphicData>
            </a:graphic>
          </wp:anchor>
        </w:drawing>
      </w:r>
    </w:p>
    <w:p>
      <w:pPr>
        <w:spacing w:after="0" w:line="43"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5"/>
        <w:spacing w:after="0" w:line="316"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083" w:gutter="0" w:footer="0" w:header="0"/>
          <w:type w:val="continuous"/>
        </w:sectPr>
      </w:pPr>
    </w:p>
    <w:bookmarkStart w:id="1" w:name="page2"/>
    <w:bookmarkEnd w:id="1"/>
    <w:p>
      <w:pPr>
        <w:ind w:right="4439"/>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Palmer, Chief Accounting Officer, Dennis P. Beaulieu, Secretary, and Robert L. Seelig, General Counsel of White Mountains Insurance Group, Ltd., signing singly, the undersigned's true and lawful attorney-in-fact to:</w:t>
      </w:r>
    </w:p>
    <w:p>
      <w:pPr>
        <w:ind w:right="3919" w:firstLine="6"/>
        <w:spacing w:after="0" w:line="247" w:lineRule="auto"/>
        <w:tabs>
          <w:tab w:leader="none" w:pos="4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819" w:firstLine="6"/>
        <w:spacing w:after="0" w:line="247" w:lineRule="auto"/>
        <w:tabs>
          <w:tab w:leader="none" w:pos="4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right="34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4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403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28th day of April, 2003.</w:t>
      </w:r>
    </w:p>
    <w:p>
      <w:pPr>
        <w:spacing w:after="0" w:line="20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John D. Gillespie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1372"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2019-12-17T11:21:53Z</dcterms:created>
  <dcterms:modified xsi:type="dcterms:W3CDTF">2019-12-17T11:21:53Z</dcterms:modified>
</cp:coreProperties>
</file>