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5</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5</w:t>
      </w:r>
    </w:p>
    <w:p>
      <w:pPr>
        <w:spacing w:after="0" w:line="175"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72390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33"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111125</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93"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4 Transactions Reported.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42"/>
              <w:spacing w:after="0" w:line="198"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580" w:type="dxa"/>
            <w:vAlign w:val="bottom"/>
            <w:vMerge w:val="restart"/>
          </w:tcPr>
          <w:p>
            <w:pPr>
              <w:jc w:val="center"/>
              <w:ind w:right="142"/>
              <w:spacing w:after="0"/>
              <w:rPr>
                <w:sz w:val="20"/>
                <w:szCs w:val="20"/>
                <w:color w:val="auto"/>
              </w:rPr>
            </w:pPr>
            <w:r>
              <w:rPr>
                <w:rFonts w:ascii="Arial" w:cs="Arial" w:eastAsia="Arial" w:hAnsi="Arial"/>
                <w:sz w:val="22"/>
                <w:szCs w:val="22"/>
                <w:b w:val="1"/>
                <w:bCs w:val="1"/>
                <w:color w:val="auto"/>
                <w:w w:val="98"/>
              </w:rPr>
              <w:t>OWNERSHIP</w:t>
            </w: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-655320</wp:posOffset>
            </wp:positionV>
            <wp:extent cx="59690"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-655320</wp:posOffset>
            </wp:positionV>
            <wp:extent cx="59690"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13970</wp:posOffset>
            </wp:positionV>
            <wp:extent cx="7306310" cy="764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6310" cy="76492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60"/>
            <w:col w:w="8840"/>
          </w:cols>
          <w:pgMar w:left="240" w:top="226" w:right="17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4">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5">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5">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3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90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1620" w:type="dxa"/>
            <w:vAlign w:val="bottom"/>
            <w:gridSpan w:val="2"/>
            <w:vMerge w:val="restart"/>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12/31/2010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34" w:lineRule="exact"/>
        <w:rPr>
          <w:sz w:val="20"/>
          <w:szCs w:val="20"/>
          <w:color w:val="auto"/>
        </w:rPr>
      </w:pPr>
    </w:p>
    <w:p>
      <w:pPr>
        <w:sectPr>
          <w:pgSz w:w="11900" w:h="16838" w:orient="portrait"/>
          <w:cols w:equalWidth="0" w:num="2">
            <w:col w:w="3920" w:space="80"/>
            <w:col w:w="748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spacing w:after="0"/>
              <w:rPr>
                <w:sz w:val="12"/>
                <w:szCs w:val="12"/>
                <w:color w:val="auto"/>
              </w:rPr>
            </w:pPr>
          </w:p>
        </w:tc>
        <w:tc>
          <w:tcPr>
            <w:tcW w:w="280" w:type="dxa"/>
            <w:vAlign w:val="bottom"/>
          </w:tcPr>
          <w:p>
            <w:pPr>
              <w:jc w:val="center"/>
              <w:ind w:right="39"/>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2"/>
                <w:szCs w:val="12"/>
                <w:color w:val="auto"/>
              </w:rPr>
            </w:pPr>
          </w:p>
        </w:tc>
        <w:tc>
          <w:tcPr>
            <w:tcW w:w="23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40" w:type="dxa"/>
            <w:vAlign w:val="bottom"/>
          </w:tcPr>
          <w:p>
            <w:pPr>
              <w:spacing w:after="0"/>
              <w:rPr>
                <w:sz w:val="12"/>
                <w:szCs w:val="12"/>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40" w:type="dxa"/>
            <w:vAlign w:val="bottom"/>
          </w:tcPr>
          <w:p>
            <w:pPr>
              <w:spacing w:after="0"/>
              <w:rPr>
                <w:sz w:val="12"/>
                <w:szCs w:val="12"/>
                <w:color w:val="auto"/>
              </w:rPr>
            </w:pPr>
          </w:p>
        </w:tc>
        <w:tc>
          <w:tcPr>
            <w:tcW w:w="100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gridSpan w:val="3"/>
            <w:vMerge w:val="restart"/>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jc w:val="center"/>
              <w:ind w:right="39"/>
              <w:spacing w:after="0" w:line="135"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8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5"/>
                <w:szCs w:val="5"/>
                <w:color w:val="auto"/>
              </w:rPr>
            </w:pPr>
          </w:p>
        </w:tc>
        <w:tc>
          <w:tcPr>
            <w:tcW w:w="7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5"/>
                <w:szCs w:val="5"/>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8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9"/>
              </w:rPr>
              <w:t>12/16/2010</w:t>
            </w: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231"/>
              <w:spacing w:after="0"/>
              <w:rPr>
                <w:sz w:val="20"/>
                <w:szCs w:val="20"/>
                <w:color w:val="auto"/>
              </w:rPr>
            </w:pPr>
            <w:r>
              <w:rPr>
                <w:rFonts w:ascii="Arial" w:cs="Arial" w:eastAsia="Arial" w:hAnsi="Arial"/>
                <w:sz w:val="18"/>
                <w:szCs w:val="18"/>
                <w:color w:val="0000FF"/>
                <w:w w:val="85"/>
              </w:rPr>
              <w:t>G</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6,200</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8"/>
                <w:szCs w:val="18"/>
                <w:color w:val="0000FF"/>
                <w:w w:val="84"/>
              </w:rPr>
              <w:t>34,350</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44"/>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0000FF"/>
                <w:w w:val="99"/>
              </w:rPr>
              <w:t>12/22/2010</w:t>
            </w: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center"/>
              <w:ind w:right="231"/>
              <w:spacing w:after="0"/>
              <w:rPr>
                <w:sz w:val="20"/>
                <w:szCs w:val="20"/>
                <w:color w:val="auto"/>
              </w:rPr>
            </w:pPr>
            <w:r>
              <w:rPr>
                <w:rFonts w:ascii="Arial" w:cs="Arial" w:eastAsia="Arial" w:hAnsi="Arial"/>
                <w:sz w:val="18"/>
                <w:szCs w:val="18"/>
                <w:color w:val="0000FF"/>
                <w:w w:val="85"/>
              </w:rPr>
              <w:t>G</w:t>
            </w:r>
          </w:p>
        </w:tc>
        <w:tc>
          <w:tcPr>
            <w:tcW w:w="1080" w:type="dxa"/>
            <w:vAlign w:val="bottom"/>
          </w:tcPr>
          <w:p>
            <w:pPr>
              <w:jc w:val="center"/>
              <w:spacing w:after="0"/>
              <w:rPr>
                <w:sz w:val="20"/>
                <w:szCs w:val="20"/>
                <w:color w:val="auto"/>
              </w:rPr>
            </w:pPr>
            <w:r>
              <w:rPr>
                <w:rFonts w:ascii="Arial" w:cs="Arial" w:eastAsia="Arial" w:hAnsi="Arial"/>
                <w:sz w:val="18"/>
                <w:szCs w:val="18"/>
                <w:color w:val="0000FF"/>
                <w:w w:val="86"/>
              </w:rPr>
              <w:t>600</w:t>
            </w:r>
          </w:p>
        </w:tc>
        <w:tc>
          <w:tcPr>
            <w:tcW w:w="560" w:type="dxa"/>
            <w:vAlign w:val="bottom"/>
          </w:tcPr>
          <w:p>
            <w:pPr>
              <w:ind w:left="18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gridSpan w:val="3"/>
          </w:tcPr>
          <w:p>
            <w:pPr>
              <w:jc w:val="center"/>
              <w:ind w:left="22"/>
              <w:spacing w:after="0"/>
              <w:rPr>
                <w:sz w:val="20"/>
                <w:szCs w:val="20"/>
                <w:color w:val="auto"/>
              </w:rPr>
            </w:pPr>
            <w:r>
              <w:rPr>
                <w:rFonts w:ascii="Arial" w:cs="Arial" w:eastAsia="Arial" w:hAnsi="Arial"/>
                <w:sz w:val="18"/>
                <w:szCs w:val="18"/>
                <w:color w:val="0000FF"/>
                <w:w w:val="87"/>
              </w:rPr>
              <w:t>33,750</w:t>
            </w:r>
          </w:p>
        </w:tc>
        <w:tc>
          <w:tcPr>
            <w:tcW w:w="280" w:type="dxa"/>
            <w:vAlign w:val="bottom"/>
          </w:tcPr>
          <w:p>
            <w:pPr>
              <w:spacing w:after="0"/>
              <w:rPr>
                <w:sz w:val="23"/>
                <w:szCs w:val="23"/>
                <w:color w:val="auto"/>
              </w:rPr>
            </w:pPr>
          </w:p>
        </w:tc>
        <w:tc>
          <w:tcPr>
            <w:tcW w:w="540" w:type="dxa"/>
            <w:vAlign w:val="bottom"/>
          </w:tcPr>
          <w:p>
            <w:pPr>
              <w:jc w:val="center"/>
              <w:ind w:right="244"/>
              <w:spacing w:after="0"/>
              <w:rPr>
                <w:sz w:val="20"/>
                <w:szCs w:val="20"/>
                <w:color w:val="auto"/>
              </w:rPr>
            </w:pPr>
            <w:r>
              <w:rPr>
                <w:rFonts w:ascii="Arial" w:cs="Arial" w:eastAsia="Arial" w:hAnsi="Arial"/>
                <w:sz w:val="18"/>
                <w:szCs w:val="18"/>
                <w:color w:val="0000FF"/>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0000FF"/>
                <w:w w:val="99"/>
              </w:rPr>
              <w:t>12/29/2010</w:t>
            </w: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center"/>
              <w:ind w:right="231"/>
              <w:spacing w:after="0"/>
              <w:rPr>
                <w:sz w:val="20"/>
                <w:szCs w:val="20"/>
                <w:color w:val="auto"/>
              </w:rPr>
            </w:pPr>
            <w:r>
              <w:rPr>
                <w:rFonts w:ascii="Arial" w:cs="Arial" w:eastAsia="Arial" w:hAnsi="Arial"/>
                <w:sz w:val="18"/>
                <w:szCs w:val="18"/>
                <w:color w:val="0000FF"/>
                <w:w w:val="85"/>
              </w:rPr>
              <w:t>G</w:t>
            </w:r>
          </w:p>
        </w:tc>
        <w:tc>
          <w:tcPr>
            <w:tcW w:w="1080" w:type="dxa"/>
            <w:vAlign w:val="bottom"/>
          </w:tcPr>
          <w:p>
            <w:pPr>
              <w:jc w:val="center"/>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18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gridSpan w:val="3"/>
          </w:tcPr>
          <w:p>
            <w:pPr>
              <w:jc w:val="center"/>
              <w:ind w:left="22"/>
              <w:spacing w:after="0"/>
              <w:rPr>
                <w:sz w:val="20"/>
                <w:szCs w:val="20"/>
                <w:color w:val="auto"/>
              </w:rPr>
            </w:pPr>
            <w:r>
              <w:rPr>
                <w:rFonts w:ascii="Arial" w:cs="Arial" w:eastAsia="Arial" w:hAnsi="Arial"/>
                <w:sz w:val="18"/>
                <w:szCs w:val="18"/>
                <w:color w:val="0000FF"/>
                <w:w w:val="87"/>
              </w:rPr>
              <w:t>32,250</w:t>
            </w:r>
          </w:p>
        </w:tc>
        <w:tc>
          <w:tcPr>
            <w:tcW w:w="280" w:type="dxa"/>
            <w:vAlign w:val="bottom"/>
          </w:tcPr>
          <w:p>
            <w:pPr>
              <w:spacing w:after="0"/>
              <w:rPr>
                <w:sz w:val="23"/>
                <w:szCs w:val="23"/>
                <w:color w:val="auto"/>
              </w:rPr>
            </w:pPr>
          </w:p>
        </w:tc>
        <w:tc>
          <w:tcPr>
            <w:tcW w:w="540" w:type="dxa"/>
            <w:vAlign w:val="bottom"/>
          </w:tcPr>
          <w:p>
            <w:pPr>
              <w:jc w:val="center"/>
              <w:ind w:right="244"/>
              <w:spacing w:after="0"/>
              <w:rPr>
                <w:sz w:val="20"/>
                <w:szCs w:val="20"/>
                <w:color w:val="auto"/>
              </w:rPr>
            </w:pPr>
            <w:r>
              <w:rPr>
                <w:rFonts w:ascii="Arial" w:cs="Arial" w:eastAsia="Arial" w:hAnsi="Arial"/>
                <w:sz w:val="18"/>
                <w:szCs w:val="18"/>
                <w:color w:val="0000FF"/>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8"/>
                <w:szCs w:val="18"/>
                <w:color w:val="0000FF"/>
                <w:w w:val="84"/>
              </w:rPr>
              <w:t>22,000</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44"/>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By Grantor</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3"/>
            <w:vMerge w:val="restart"/>
          </w:tcPr>
          <w:p>
            <w:pPr>
              <w:jc w:val="center"/>
              <w:ind w:left="22"/>
              <w:spacing w:after="0"/>
              <w:rPr>
                <w:sz w:val="20"/>
                <w:szCs w:val="20"/>
                <w:color w:val="auto"/>
              </w:rPr>
            </w:pPr>
            <w:r>
              <w:rPr>
                <w:rFonts w:ascii="Arial" w:cs="Arial" w:eastAsia="Arial" w:hAnsi="Arial"/>
                <w:sz w:val="18"/>
                <w:szCs w:val="18"/>
                <w:color w:val="0000FF"/>
                <w:w w:val="87"/>
              </w:rPr>
              <w:t>24,768</w:t>
            </w:r>
          </w:p>
        </w:tc>
        <w:tc>
          <w:tcPr>
            <w:tcW w:w="280" w:type="dxa"/>
            <w:vAlign w:val="bottom"/>
          </w:tcPr>
          <w:p>
            <w:pPr>
              <w:spacing w:after="0"/>
              <w:rPr>
                <w:sz w:val="18"/>
                <w:szCs w:val="18"/>
                <w:color w:val="auto"/>
              </w:rPr>
            </w:pPr>
          </w:p>
        </w:tc>
        <w:tc>
          <w:tcPr>
            <w:tcW w:w="540" w:type="dxa"/>
            <w:vAlign w:val="bottom"/>
            <w:vMerge w:val="restart"/>
          </w:tcPr>
          <w:p>
            <w:pPr>
              <w:jc w:val="center"/>
              <w:ind w:right="244"/>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Retained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8"/>
                <w:szCs w:val="18"/>
                <w:color w:val="0000FF"/>
              </w:rPr>
              <w:t>Annuity</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center"/>
              <w:ind w:left="22"/>
              <w:spacing w:after="0"/>
              <w:rPr>
                <w:sz w:val="20"/>
                <w:szCs w:val="20"/>
                <w:color w:val="auto"/>
              </w:rPr>
            </w:pPr>
            <w:r>
              <w:rPr>
                <w:rFonts w:ascii="Arial" w:cs="Arial" w:eastAsia="Arial" w:hAnsi="Arial"/>
                <w:sz w:val="18"/>
                <w:szCs w:val="18"/>
                <w:color w:val="0000FF"/>
                <w:w w:val="87"/>
              </w:rPr>
              <w:t>11,615</w:t>
            </w:r>
          </w:p>
        </w:tc>
        <w:tc>
          <w:tcPr>
            <w:tcW w:w="280" w:type="dxa"/>
            <w:vAlign w:val="bottom"/>
          </w:tcPr>
          <w:p>
            <w:pPr>
              <w:spacing w:after="0"/>
              <w:rPr>
                <w:sz w:val="23"/>
                <w:szCs w:val="23"/>
                <w:color w:val="auto"/>
              </w:rPr>
            </w:pPr>
          </w:p>
        </w:tc>
        <w:tc>
          <w:tcPr>
            <w:tcW w:w="540" w:type="dxa"/>
            <w:vAlign w:val="bottom"/>
          </w:tcPr>
          <w:p>
            <w:pPr>
              <w:jc w:val="center"/>
              <w:ind w:right="244"/>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By wife</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22"/>
              <w:spacing w:after="0"/>
              <w:rPr>
                <w:sz w:val="20"/>
                <w:szCs w:val="20"/>
                <w:color w:val="auto"/>
              </w:rPr>
            </w:pPr>
            <w:r>
              <w:rPr>
                <w:rFonts w:ascii="Arial" w:cs="Arial" w:eastAsia="Arial" w:hAnsi="Arial"/>
                <w:sz w:val="18"/>
                <w:szCs w:val="18"/>
                <w:color w:val="0000FF"/>
                <w:w w:val="82"/>
              </w:rPr>
              <w:t>2,975</w:t>
            </w:r>
            <w:r>
              <w:rPr>
                <w:rFonts w:ascii="Arial" w:cs="Arial" w:eastAsia="Arial" w:hAnsi="Arial"/>
                <w:sz w:val="22"/>
                <w:szCs w:val="22"/>
                <w:color w:val="008000"/>
                <w:w w:val="82"/>
                <w:vertAlign w:val="superscript"/>
              </w:rPr>
              <w:t>(3)</w:t>
            </w:r>
          </w:p>
        </w:tc>
        <w:tc>
          <w:tcPr>
            <w:tcW w:w="280" w:type="dxa"/>
            <w:vAlign w:val="bottom"/>
          </w:tcPr>
          <w:p>
            <w:pPr>
              <w:spacing w:after="0"/>
              <w:rPr>
                <w:sz w:val="22"/>
                <w:szCs w:val="22"/>
                <w:color w:val="auto"/>
              </w:rPr>
            </w:pPr>
          </w:p>
        </w:tc>
        <w:tc>
          <w:tcPr>
            <w:tcW w:w="540" w:type="dxa"/>
            <w:vAlign w:val="bottom"/>
            <w:vMerge w:val="restart"/>
          </w:tcPr>
          <w:p>
            <w:pPr>
              <w:jc w:val="center"/>
              <w:ind w:right="244"/>
              <w:spacing w:after="0"/>
              <w:rPr>
                <w:sz w:val="20"/>
                <w:szCs w:val="20"/>
                <w:color w:val="auto"/>
              </w:rPr>
            </w:pPr>
            <w:r>
              <w:rPr>
                <w:rFonts w:ascii="Arial" w:cs="Arial" w:eastAsia="Arial" w:hAnsi="Arial"/>
                <w:sz w:val="18"/>
                <w:szCs w:val="18"/>
                <w:color w:val="0000FF"/>
              </w:rPr>
              <w:t>I</w:t>
            </w:r>
          </w:p>
        </w:tc>
        <w:tc>
          <w:tcPr>
            <w:tcW w:w="320" w:type="dxa"/>
            <w:vAlign w:val="bottom"/>
          </w:tcPr>
          <w:p>
            <w:pPr>
              <w:ind w:left="80"/>
              <w:spacing w:after="0"/>
              <w:rPr>
                <w:sz w:val="20"/>
                <w:szCs w:val="20"/>
                <w:color w:val="auto"/>
              </w:rPr>
            </w:pPr>
            <w:r>
              <w:rPr>
                <w:rFonts w:ascii="Arial" w:cs="Arial" w:eastAsia="Arial" w:hAnsi="Arial"/>
                <w:sz w:val="18"/>
                <w:szCs w:val="18"/>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8"/>
                <w:szCs w:val="18"/>
                <w:color w:val="0000FF"/>
              </w:rPr>
              <w:t>daughter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center"/>
              <w:ind w:left="22"/>
              <w:spacing w:after="0"/>
              <w:rPr>
                <w:sz w:val="20"/>
                <w:szCs w:val="20"/>
                <w:color w:val="auto"/>
              </w:rPr>
            </w:pPr>
            <w:r>
              <w:rPr>
                <w:rFonts w:ascii="Arial" w:cs="Arial" w:eastAsia="Arial" w:hAnsi="Arial"/>
                <w:sz w:val="18"/>
                <w:szCs w:val="18"/>
                <w:color w:val="0000FF"/>
                <w:w w:val="88"/>
              </w:rPr>
              <w:t>4,230</w:t>
            </w:r>
          </w:p>
        </w:tc>
        <w:tc>
          <w:tcPr>
            <w:tcW w:w="280" w:type="dxa"/>
            <w:vAlign w:val="bottom"/>
          </w:tcPr>
          <w:p>
            <w:pPr>
              <w:spacing w:after="0"/>
              <w:rPr>
                <w:sz w:val="23"/>
                <w:szCs w:val="23"/>
                <w:color w:val="auto"/>
              </w:rPr>
            </w:pPr>
          </w:p>
        </w:tc>
        <w:tc>
          <w:tcPr>
            <w:tcW w:w="540" w:type="dxa"/>
            <w:vAlign w:val="bottom"/>
          </w:tcPr>
          <w:p>
            <w:pPr>
              <w:jc w:val="center"/>
              <w:ind w:right="244"/>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By IRA</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8"/>
                <w:szCs w:val="18"/>
                <w:color w:val="0000FF"/>
                <w:w w:val="83"/>
              </w:rPr>
              <w:t>485</w:t>
            </w:r>
            <w:r>
              <w:rPr>
                <w:rFonts w:ascii="Arial" w:cs="Arial" w:eastAsia="Arial" w:hAnsi="Arial"/>
                <w:sz w:val="22"/>
                <w:szCs w:val="22"/>
                <w:color w:val="008000"/>
                <w:w w:val="83"/>
                <w:vertAlign w:val="superscript"/>
              </w:rPr>
              <w:t>(4)</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44"/>
              <w:spacing w:after="0"/>
              <w:rPr>
                <w:sz w:val="20"/>
                <w:szCs w:val="20"/>
                <w:color w:val="auto"/>
              </w:rPr>
            </w:pPr>
            <w:r>
              <w:rPr>
                <w:rFonts w:ascii="Arial" w:cs="Arial" w:eastAsia="Arial" w:hAnsi="Arial"/>
                <w:sz w:val="18"/>
                <w:szCs w:val="18"/>
                <w:color w:val="0000FF"/>
              </w:rPr>
              <w:t>I</w:t>
            </w:r>
          </w:p>
        </w:tc>
        <w:tc>
          <w:tcPr>
            <w:tcW w:w="100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rPr>
              <w:t>by 401(k)</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20" w:type="dxa"/>
            <w:vAlign w:val="bottom"/>
            <w:gridSpan w:val="10"/>
          </w:tcPr>
          <w:p>
            <w:pPr>
              <w:ind w:left="6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w w:val="96"/>
              </w:rPr>
              <w:t>and 5)</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ind w:right="39"/>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restart"/>
          </w:tcPr>
          <w:p>
            <w:pPr>
              <w:ind w:left="360"/>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8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w w:val="91"/>
              </w:rPr>
              <w:t>01/20/2017</w:t>
            </w:r>
          </w:p>
        </w:tc>
        <w:tc>
          <w:tcPr>
            <w:tcW w:w="740" w:type="dxa"/>
            <w:vAlign w:val="bottom"/>
            <w:gridSpan w:val="2"/>
            <w:vMerge w:val="continue"/>
          </w:tcPr>
          <w:p>
            <w:pPr>
              <w:spacing w:after="0"/>
              <w:rPr>
                <w:sz w:val="5"/>
                <w:szCs w:val="5"/>
                <w:color w:val="auto"/>
              </w:rPr>
            </w:pPr>
          </w:p>
        </w:tc>
        <w:tc>
          <w:tcPr>
            <w:tcW w:w="54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w w:val="98"/>
              </w:rPr>
              <w:t>125,000</w:t>
            </w: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200"/>
              <w:spacing w:after="0" w:line="149" w:lineRule="exact"/>
              <w:rPr>
                <w:sz w:val="20"/>
                <w:szCs w:val="20"/>
                <w:color w:val="auto"/>
              </w:rPr>
            </w:pPr>
            <w:r>
              <w:rPr>
                <w:rFonts w:ascii="Arial" w:cs="Arial" w:eastAsia="Arial" w:hAnsi="Arial"/>
                <w:sz w:val="14"/>
                <w:szCs w:val="14"/>
                <w:color w:val="0000FF"/>
              </w:rPr>
              <w:t>125,000</w:t>
            </w:r>
          </w:p>
        </w:tc>
        <w:tc>
          <w:tcPr>
            <w:tcW w:w="54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4"/>
                <w:szCs w:val="14"/>
                <w:color w:val="0000FF"/>
                <w:w w:val="85"/>
              </w:rPr>
              <w:t>Shares</w:t>
            </w: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gift of 2,200 WTM Common Shares to the Reporting Person's daughter who shares his household. Reporting Person no longers reports the WTM Common Share holdings of his emancipated son who does not share his household.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reclassification of 7,000 WTM Common Shares from "restricted" to unrestricted since August 24, 2010, the date of the Reporting Person's last filing.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gift of 2,200 WTM Common Shares described in footnote 1 of this filing.</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August 24, 2010, the date of the Reporting Person's last filing, the Reporting Person acquired 7 WTM Common Shares under his Company 401(k) Plan. WTM Common Shares are purchased at fair market value on the date of purchase. The information in this report is based on a plan statement dated as of January 31, 2011.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are immediately exerciseable.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260" w:type="dxa"/>
            <w:vAlign w:val="bottom"/>
          </w:tcPr>
          <w:p>
            <w:pPr>
              <w:spacing w:after="0"/>
              <w:rPr>
                <w:sz w:val="18"/>
                <w:szCs w:val="18"/>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02/04/2011</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720" w:type="dxa"/>
            <w:vAlign w:val="bottom"/>
            <w:gridSpan w:val="2"/>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40" w:right="1299" w:bottom="1440" w:gutter="0" w:footer="0" w:header="0"/>
        </w:sectPr>
      </w:pPr>
    </w:p>
    <w:bookmarkStart w:id="2" w:name="page3"/>
    <w:bookmarkEnd w:id="2"/>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www.sec.gov/cgi-bin/browse-edgar?action=getcompany&amp;CIK=0001181360" TargetMode="External"/><Relationship Id="rId15"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2019-12-18T13:36:14Z</dcterms:created>
  <dcterms:modified xsi:type="dcterms:W3CDTF">2019-12-18T13:36:14Z</dcterms:modified>
</cp:coreProperties>
</file>