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3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84"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05/24/2007</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6"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Arial" w:cs="Arial" w:eastAsia="Arial" w:hAnsi="Arial"/>
                <w:sz w:val="17"/>
                <w:szCs w:val="17"/>
                <w:color w:val="0000FF"/>
              </w:rPr>
              <w:t>05/24/2007</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340"/>
              <w:spacing w:after="0"/>
              <w:rPr>
                <w:sz w:val="20"/>
                <w:szCs w:val="20"/>
                <w:color w:val="auto"/>
              </w:rPr>
            </w:pPr>
            <w:r>
              <w:rPr>
                <w:rFonts w:ascii="Arial" w:cs="Arial" w:eastAsia="Arial" w:hAnsi="Arial"/>
                <w:sz w:val="17"/>
                <w:szCs w:val="17"/>
                <w:color w:val="0000FF"/>
              </w:rPr>
              <w:t>100</w:t>
            </w:r>
          </w:p>
        </w:tc>
        <w:tc>
          <w:tcPr>
            <w:tcW w:w="7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0000FF"/>
              </w:rPr>
              <w:t>15,199</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ind w:right="300"/>
              <w:spacing w:after="0"/>
              <w:rPr>
                <w:sz w:val="20"/>
                <w:szCs w:val="20"/>
                <w:color w:val="auto"/>
              </w:rPr>
            </w:pPr>
            <w:r>
              <w:rPr>
                <w:rFonts w:ascii="Arial" w:cs="Arial" w:eastAsia="Arial" w:hAnsi="Arial"/>
                <w:sz w:val="17"/>
                <w:szCs w:val="17"/>
                <w:color w:val="0000FF"/>
              </w:rPr>
              <w:t>5,365</w:t>
            </w:r>
            <w:r>
              <w:rPr>
                <w:rFonts w:ascii="Arial" w:cs="Arial" w:eastAsia="Arial" w:hAnsi="Arial"/>
                <w:sz w:val="22"/>
                <w:szCs w:val="22"/>
                <w:color w:val="008000"/>
                <w:vertAlign w:val="superscript"/>
              </w:rPr>
              <w:t>(1)</w:t>
            </w:r>
          </w:p>
        </w:tc>
        <w:tc>
          <w:tcPr>
            <w:tcW w:w="32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vMerge w:val="restart"/>
          </w:tcPr>
          <w:p>
            <w:pPr>
              <w:ind w:left="280"/>
              <w:spacing w:after="0"/>
              <w:rPr>
                <w:sz w:val="20"/>
                <w:szCs w:val="20"/>
                <w:color w:val="auto"/>
              </w:rPr>
            </w:pPr>
            <w:r>
              <w:rPr>
                <w:rFonts w:ascii="Arial" w:cs="Arial" w:eastAsia="Arial" w:hAnsi="Arial"/>
                <w:sz w:val="13"/>
                <w:szCs w:val="13"/>
                <w:color w:val="0000FF"/>
                <w:w w:val="85"/>
              </w:rPr>
              <w:t>4,434</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April 10, 2007, the date of Reporting Person's last filing, Reporting Person acquired 5 shares of WTM Common Shares under the Folksamerica 401(k) Plan. WTM Common Shares are purchased at fair market value on the date of purchase. The information in this report is based on a plan statement dated as of April 30, 2007.</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3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As a result of the Reporting Person's previous separation of employment from WTM, the deferred compensation account is payable in cash in five equal installments that commenced in 2005. Final payment is due in 2009.</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05/29/2007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2019-12-18T12:46:12Z</dcterms:created>
  <dcterms:modified xsi:type="dcterms:W3CDTF">2019-12-18T12:46:12Z</dcterms:modified>
</cp:coreProperties>
</file>