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02/27/2013</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3,375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w w:val="87"/>
              </w:rPr>
              <w:t>11,375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5"/>
              <w:spacing w:after="0"/>
              <w:rPr>
                <w:sz w:val="20"/>
                <w:szCs w:val="20"/>
                <w:color w:val="auto"/>
              </w:rPr>
            </w:pPr>
            <w:r>
              <w:rPr>
                <w:rFonts w:ascii="Arial" w:cs="Arial" w:eastAsia="Arial" w:hAnsi="Arial"/>
                <w:sz w:val="18"/>
                <w:szCs w:val="18"/>
                <w:color w:val="0000FF"/>
                <w:w w:val="87"/>
              </w:rPr>
              <w:t>13,150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5"/>
              <w:spacing w:after="0"/>
              <w:rPr>
                <w:sz w:val="20"/>
                <w:szCs w:val="20"/>
                <w:color w:val="auto"/>
              </w:rPr>
            </w:pPr>
            <w:r>
              <w:rPr>
                <w:rFonts w:ascii="Arial" w:cs="Arial" w:eastAsia="Arial" w:hAnsi="Arial"/>
                <w:sz w:val="35"/>
                <w:szCs w:val="35"/>
                <w:color w:val="0000FF"/>
                <w:w w:val="76"/>
                <w:vertAlign w:val="subscript"/>
              </w:rPr>
              <w:t>51</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27, 2013, the Reporting Person received a restricted share award of 3,375 Common Shares which vest on January 1, 2016.</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7 WTM Common Shares in Reporting Person's Company 401(k) account since his last filed report. WTM Common Shares are purchased at fair market value on the date of purchase. The information in this report is based on a plan statement dated as of Feb 21, 2013.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03/01/2013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2019-12-18T13:57:02Z</dcterms:created>
  <dcterms:modified xsi:type="dcterms:W3CDTF">2019-12-18T13:57:02Z</dcterms:modified>
</cp:coreProperties>
</file>