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4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401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Frinquelli Angelo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05/24/2012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05/24/2012</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200</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841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0000FF"/>
              </w:rPr>
              <w:t>500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children's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trusts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0000FF"/>
              </w:rPr>
              <w:t>100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w w:val="88"/>
              </w:rPr>
              <w:t>Renaissance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0000FF"/>
              </w:rPr>
              <w:t>300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Advisors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Director Share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sole shareholder of Renaissance Fund Advisors Inc.</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Jason R. Lichtenstein,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23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29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0000FF"/>
        </w:rPr>
        <w:t>05/29/2012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2019-12-18T13:37:18Z</dcterms:created>
  <dcterms:modified xsi:type="dcterms:W3CDTF">2019-12-18T13:37:18Z</dcterms:modified>
</cp:coreProperties>
</file>