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4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47940"/>
                    </a:xfrm>
                    <a:prstGeom prst="rect">
                      <a:avLst/>
                    </a:prstGeom>
                    <a:noFill/>
                  </pic:spPr>
                </pic:pic>
              </a:graphicData>
            </a:graphic>
          </wp:anchor>
        </w:drawing>
      </w:r>
    </w:p>
    <w:p>
      <w:pPr>
        <w:spacing w:after="0" w:line="104" w:lineRule="exact"/>
        <w:rPr>
          <w:sz w:val="24"/>
          <w:szCs w:val="24"/>
          <w:color w:val="auto"/>
        </w:rPr>
      </w:pPr>
    </w:p>
    <w:p>
      <w:pPr>
        <w:sectPr>
          <w:pgSz w:w="11900" w:h="16904"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05/11/2009</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904"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05/11/2009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0"/>
              </w:rPr>
              <w:t>800</w:t>
            </w:r>
            <w:r>
              <w:rPr>
                <w:rFonts w:ascii="Arial" w:cs="Arial" w:eastAsia="Arial" w:hAnsi="Arial"/>
                <w:sz w:val="22"/>
                <w:szCs w:val="22"/>
                <w:color w:val="008000"/>
                <w:w w:val="90"/>
                <w:vertAlign w:val="superscript"/>
              </w:rPr>
              <w:t>(1)</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216.4575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28,995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05/11/2009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0"/>
              </w:rPr>
              <w:t>200</w:t>
            </w:r>
            <w:r>
              <w:rPr>
                <w:rFonts w:ascii="Arial" w:cs="Arial" w:eastAsia="Arial" w:hAnsi="Arial"/>
                <w:sz w:val="22"/>
                <w:szCs w:val="22"/>
                <w:color w:val="008000"/>
                <w:w w:val="90"/>
                <w:vertAlign w:val="superscript"/>
              </w:rPr>
              <w:t>(1)</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216.49</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29,195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4"/>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36,000</w:t>
            </w:r>
          </w:p>
        </w:tc>
        <w:tc>
          <w:tcPr>
            <w:tcW w:w="26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24,768</w:t>
            </w:r>
          </w:p>
        </w:tc>
        <w:tc>
          <w:tcPr>
            <w:tcW w:w="260" w:type="dxa"/>
            <w:vAlign w:val="bottom"/>
          </w:tcPr>
          <w:p>
            <w:pPr>
              <w:spacing w:after="0"/>
              <w:rPr>
                <w:sz w:val="18"/>
                <w:szCs w:val="18"/>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11,615</w:t>
            </w:r>
          </w:p>
        </w:tc>
        <w:tc>
          <w:tcPr>
            <w:tcW w:w="26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vMerge w:val="restart"/>
          </w:tcPr>
          <w:p>
            <w:pPr>
              <w:jc w:val="center"/>
              <w:ind w:right="455"/>
              <w:spacing w:after="0"/>
              <w:rPr>
                <w:sz w:val="20"/>
                <w:szCs w:val="20"/>
                <w:color w:val="auto"/>
              </w:rPr>
            </w:pPr>
            <w:r>
              <w:rPr>
                <w:rFonts w:ascii="Arial" w:cs="Arial" w:eastAsia="Arial" w:hAnsi="Arial"/>
                <w:sz w:val="17"/>
                <w:szCs w:val="17"/>
                <w:color w:val="0000FF"/>
                <w:w w:val="91"/>
              </w:rPr>
              <w:t>775</w:t>
            </w:r>
          </w:p>
        </w:tc>
        <w:tc>
          <w:tcPr>
            <w:tcW w:w="260" w:type="dxa"/>
            <w:vAlign w:val="bottom"/>
          </w:tcPr>
          <w:p>
            <w:pPr>
              <w:spacing w:after="0"/>
              <w:rPr>
                <w:sz w:val="22"/>
                <w:szCs w:val="22"/>
                <w:color w:val="auto"/>
              </w:rPr>
            </w:pPr>
          </w:p>
        </w:tc>
        <w:tc>
          <w:tcPr>
            <w:tcW w:w="700" w:type="dxa"/>
            <w:vAlign w:val="bottom"/>
            <w:vMerge w:val="restart"/>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center"/>
              <w:ind w:right="455"/>
              <w:spacing w:after="0"/>
              <w:rPr>
                <w:sz w:val="20"/>
                <w:szCs w:val="20"/>
                <w:color w:val="auto"/>
              </w:rPr>
            </w:pPr>
            <w:r>
              <w:rPr>
                <w:rFonts w:ascii="Arial" w:cs="Arial" w:eastAsia="Arial" w:hAnsi="Arial"/>
                <w:sz w:val="17"/>
                <w:szCs w:val="17"/>
                <w:color w:val="0000FF"/>
                <w:w w:val="91"/>
              </w:rPr>
              <w:t>300</w:t>
            </w:r>
          </w:p>
        </w:tc>
        <w:tc>
          <w:tcPr>
            <w:tcW w:w="26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4,230</w:t>
            </w:r>
          </w:p>
        </w:tc>
        <w:tc>
          <w:tcPr>
            <w:tcW w:w="260" w:type="dxa"/>
            <w:vAlign w:val="bottom"/>
          </w:tcPr>
          <w:p>
            <w:pPr>
              <w:spacing w:after="0"/>
              <w:rPr>
                <w:sz w:val="23"/>
                <w:szCs w:val="23"/>
                <w:color w:val="auto"/>
              </w:rPr>
            </w:pPr>
          </w:p>
        </w:tc>
        <w:tc>
          <w:tcPr>
            <w:tcW w:w="700" w:type="dxa"/>
            <w:vAlign w:val="bottom"/>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34"/>
                <w:szCs w:val="34"/>
                <w:color w:val="0000FF"/>
                <w:w w:val="74"/>
                <w:vertAlign w:val="subscript"/>
              </w:rPr>
              <w:t>143</w:t>
            </w:r>
            <w:r>
              <w:rPr>
                <w:rFonts w:ascii="Arial" w:cs="Arial" w:eastAsia="Arial" w:hAnsi="Arial"/>
                <w:sz w:val="11"/>
                <w:szCs w:val="11"/>
                <w:color w:val="008000"/>
                <w:w w:val="74"/>
              </w:rPr>
              <w:t>(2)</w:t>
            </w:r>
          </w:p>
        </w:tc>
        <w:tc>
          <w:tcPr>
            <w:tcW w:w="260" w:type="dxa"/>
            <w:vAlign w:val="bottom"/>
          </w:tcPr>
          <w:p>
            <w:pPr>
              <w:spacing w:after="0"/>
              <w:rPr>
                <w:sz w:val="22"/>
                <w:szCs w:val="22"/>
                <w:color w:val="auto"/>
              </w:rPr>
            </w:pPr>
          </w:p>
        </w:tc>
        <w:tc>
          <w:tcPr>
            <w:tcW w:w="700" w:type="dxa"/>
            <w:vAlign w:val="bottom"/>
            <w:vMerge w:val="restart"/>
          </w:tcPr>
          <w:p>
            <w:pPr>
              <w:jc w:val="center"/>
              <w:ind w:right="304"/>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2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4"/>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2"/>
                <w:szCs w:val="22"/>
                <w:color w:val="008000"/>
                <w:vertAlign w:val="superscript"/>
              </w:rPr>
              <w:t>(3)</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gridSpan w:val="2"/>
            <w:vMerge w:val="restart"/>
          </w:tcPr>
          <w:p>
            <w:pPr>
              <w:jc w:val="center"/>
              <w:ind w:right="37"/>
              <w:spacing w:after="0"/>
              <w:rPr>
                <w:sz w:val="20"/>
                <w:szCs w:val="20"/>
                <w:color w:val="auto"/>
              </w:rPr>
            </w:pPr>
            <w:r>
              <w:rPr>
                <w:rFonts w:ascii="Arial" w:cs="Arial" w:eastAsia="Arial" w:hAnsi="Arial"/>
                <w:sz w:val="11"/>
                <w:szCs w:val="11"/>
                <w:color w:val="008000"/>
                <w:w w:val="88"/>
              </w:rPr>
              <w:t>(4)</w:t>
            </w: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200,000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3"/>
                <w:szCs w:val="13"/>
                <w:color w:val="0000FF"/>
              </w:rPr>
              <w:t>01/19/2014</w:t>
            </w: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340"/>
              <w:spacing w:after="0" w:line="132" w:lineRule="exact"/>
              <w:rPr>
                <w:sz w:val="20"/>
                <w:szCs w:val="20"/>
                <w:color w:val="auto"/>
              </w:rPr>
            </w:pPr>
            <w:r>
              <w:rPr>
                <w:rFonts w:ascii="Arial" w:cs="Arial" w:eastAsia="Arial" w:hAnsi="Arial"/>
                <w:sz w:val="13"/>
                <w:szCs w:val="13"/>
                <w:color w:val="0000FF"/>
                <w:w w:val="89"/>
              </w:rPr>
              <w:t>200,000</w:t>
            </w: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acquired in open market transaction.</w:t>
      </w:r>
    </w:p>
    <w:p>
      <w:pPr>
        <w:spacing w:after="0" w:line="51"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April 1, 2009, the date of Reporting Person's last filing, Reporting Person has acquired 15 shares of WTM Common Shares under his 401(k) Plan. WTM Common Shares are purchased at fair market value on the date of purchase. The information in this report is based on a plan statement dated as of May 8, 2009.</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05/13/2009</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904" w:orient="portrait"/>
          <w:cols w:equalWidth="0" w:num="1">
            <w:col w:w="11520"/>
          </w:cols>
          <w:pgMar w:left="240" w:top="225" w:right="139" w:bottom="0" w:gutter="0" w:footer="0" w:header="0"/>
          <w:type w:val="continuous"/>
        </w:sectPr>
      </w:pPr>
    </w:p>
    <w:bookmarkStart w:id="1" w:name="page2"/>
    <w:bookmarkEnd w:id="1"/>
    <w:p>
      <w:pPr>
        <w:jc w:val="both"/>
        <w:ind w:right="2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78"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2019-12-18T13:39:38Z</dcterms:created>
  <dcterms:modified xsi:type="dcterms:W3CDTF">2019-12-18T13:39:38Z</dcterms:modified>
</cp:coreProperties>
</file>