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03/19/2019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Davis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03/19/2019</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ind w:left="260"/>
              <w:spacing w:after="0" w:line="216" w:lineRule="exact"/>
              <w:rPr>
                <w:sz w:val="20"/>
                <w:szCs w:val="20"/>
                <w:color w:val="auto"/>
              </w:rPr>
            </w:pPr>
            <w:r>
              <w:rPr>
                <w:rFonts w:ascii="Arial" w:cs="Arial" w:eastAsia="Arial" w:hAnsi="Arial"/>
                <w:sz w:val="25"/>
                <w:szCs w:val="25"/>
                <w:color w:val="0000FF"/>
                <w:vertAlign w:val="subscript"/>
              </w:rPr>
              <w:t>954</w:t>
            </w:r>
            <w:r>
              <w:rPr>
                <w:rFonts w:ascii="Arial" w:cs="Arial" w:eastAsia="Arial" w:hAnsi="Arial"/>
                <w:sz w:val="10"/>
                <w:szCs w:val="10"/>
                <w:color w:val="008000"/>
              </w:rPr>
              <w:t>(1)</w:t>
            </w:r>
          </w:p>
        </w:tc>
        <w:tc>
          <w:tcPr>
            <w:tcW w:w="500" w:type="dxa"/>
            <w:vAlign w:val="bottom"/>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18"/>
                <w:szCs w:val="18"/>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925.21</w:t>
            </w:r>
          </w:p>
        </w:tc>
        <w:tc>
          <w:tcPr>
            <w:tcW w:w="3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9,035</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6,639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The sale reported in this Form 4 was effected pursuant to a Rule 10b5-1 trading plan adopted by the Davis Family Trust on March 6, 2019.</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03/20/2019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7" w:lineRule="exact"/>
        <w:rPr>
          <w:sz w:val="20"/>
          <w:szCs w:val="20"/>
          <w:color w:val="auto"/>
        </w:rPr>
      </w:pPr>
    </w:p>
    <w:p>
      <w:pPr>
        <w:ind w:right="3899"/>
        <w:spacing w:after="0" w:line="47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w:t>
      </w:r>
    </w:p>
    <w:p>
      <w:pPr>
        <w:spacing w:after="0" w:line="10" w:lineRule="exact"/>
        <w:rPr>
          <w:sz w:val="20"/>
          <w:szCs w:val="20"/>
          <w:color w:val="auto"/>
        </w:rPr>
      </w:pPr>
    </w:p>
    <w:p>
      <w:pPr>
        <w:ind w:right="4939"/>
        <w:spacing w:after="0" w:line="536" w:lineRule="auto"/>
        <w:rPr>
          <w:sz w:val="20"/>
          <w:szCs w:val="20"/>
          <w:color w:val="auto"/>
        </w:rPr>
      </w:pPr>
      <w:r>
        <w:rPr>
          <w:rFonts w:ascii="Courier New" w:cs="Courier New" w:eastAsia="Courier New" w:hAnsi="Courier New"/>
          <w:sz w:val="16"/>
          <w:szCs w:val="16"/>
          <w:color w:val="auto"/>
        </w:rPr>
        <w:t>Associate General Counsel,signing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965" w:orient="portrait"/>
          <w:cols w:equalWidth="0" w:num="1">
            <w:col w:w="10219"/>
          </w:cols>
          <w:pgMar w:left="240" w:top="142" w:right="1440" w:bottom="0" w:gutter="0" w:footer="0" w:header="0"/>
        </w:sectPr>
      </w:pPr>
    </w:p>
    <w:bookmarkStart w:id="2" w:name="page3"/>
    <w:bookmarkEnd w:id="2"/>
    <w:p>
      <w:pPr>
        <w:ind w:right="3479"/>
        <w:spacing w:after="0" w:line="536" w:lineRule="auto"/>
        <w:rPr>
          <w:sz w:val="20"/>
          <w:szCs w:val="20"/>
          <w:color w:val="auto"/>
        </w:rPr>
      </w:pPr>
      <w:r>
        <w:rPr>
          <w:rFonts w:ascii="Courier New" w:cs="Courier New" w:eastAsia="Courier New" w:hAnsi="Courier New"/>
          <w:sz w:val="16"/>
          <w:szCs w:val="16"/>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4"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May 2018.</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2019-12-24T09:19:21Z</dcterms:created>
  <dcterms:modified xsi:type="dcterms:W3CDTF">2019-12-24T09:19:21Z</dcterms:modified>
</cp:coreProperties>
</file>