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87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HOLIDAY EDITH E</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05/29/2008</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80" w:type="dxa"/>
            <w:vAlign w:val="bottom"/>
            <w:gridSpan w:val="3"/>
          </w:tcPr>
          <w:p>
            <w:pPr>
              <w:ind w:left="580"/>
              <w:spacing w:after="0"/>
              <w:rPr>
                <w:sz w:val="20"/>
                <w:szCs w:val="20"/>
                <w:color w:val="auto"/>
              </w:rPr>
            </w:pPr>
            <w:r>
              <w:rPr>
                <w:rFonts w:ascii="Arial" w:cs="Arial" w:eastAsia="Arial" w:hAnsi="Arial"/>
                <w:sz w:val="17"/>
                <w:szCs w:val="17"/>
                <w:color w:val="0000FF"/>
              </w:rPr>
              <w:t>200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05/29/2008</w:t>
            </w:r>
          </w:p>
        </w:tc>
        <w:tc>
          <w:tcPr>
            <w:tcW w:w="1120" w:type="dxa"/>
            <w:vAlign w:val="bottom"/>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Arial" w:cs="Arial" w:eastAsia="Arial" w:hAnsi="Arial"/>
                <w:sz w:val="13"/>
                <w:szCs w:val="13"/>
                <w:color w:val="0000FF"/>
              </w:rPr>
              <w:t>100</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96"/>
              <w:spacing w:after="0"/>
              <w:rPr>
                <w:sz w:val="20"/>
                <w:szCs w:val="20"/>
                <w:color w:val="auto"/>
              </w:rPr>
            </w:pPr>
            <w:r>
              <w:rPr>
                <w:rFonts w:ascii="Arial" w:cs="Arial" w:eastAsia="Arial" w:hAnsi="Arial"/>
                <w:sz w:val="17"/>
                <w:szCs w:val="17"/>
                <w:color w:val="0000FF"/>
              </w:rPr>
              <w:t>100</w:t>
            </w: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80"/>
              </w:rPr>
              <w:t>201</w:t>
            </w:r>
            <w:r>
              <w:rPr>
                <w:rFonts w:ascii="Arial" w:cs="Arial" w:eastAsia="Arial" w:hAnsi="Arial"/>
                <w:sz w:val="22"/>
                <w:szCs w:val="22"/>
                <w:color w:val="008000"/>
                <w:w w:val="80"/>
                <w:vertAlign w:val="superscript"/>
              </w:rPr>
              <w:t>(3)</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accrual of fractional Phantom Share dividend equivalents to the Reporting Person's deferred compensation account totaling to one Phantom Share since the Reporting Person's last filing.</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06/02/2008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19"/>
        <w:spacing w:after="0" w:line="248"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Edith E. Holiday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58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2019-12-18T13:42:48Z</dcterms:created>
  <dcterms:modified xsi:type="dcterms:W3CDTF">2019-12-18T13:42:48Z</dcterms:modified>
</cp:coreProperties>
</file>