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02/27/2020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02/27/2020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2"/>
              <w:spacing w:after="0"/>
              <w:rPr>
                <w:sz w:val="20"/>
                <w:szCs w:val="20"/>
                <w:color w:val="auto"/>
              </w:rPr>
            </w:pPr>
            <w:r>
              <w:rPr>
                <w:rFonts w:ascii="Arial" w:cs="Arial" w:eastAsia="Arial" w:hAnsi="Arial"/>
                <w:sz w:val="18"/>
                <w:szCs w:val="18"/>
                <w:color w:val="0000FF"/>
                <w:w w:val="88"/>
              </w:rPr>
              <w:t>1,450</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72"/>
              <w:spacing w:after="0"/>
              <w:rPr>
                <w:sz w:val="20"/>
                <w:szCs w:val="20"/>
                <w:color w:val="auto"/>
              </w:rPr>
            </w:pPr>
            <w:r>
              <w:rPr>
                <w:rFonts w:ascii="Arial" w:cs="Arial" w:eastAsia="Arial" w:hAnsi="Arial"/>
                <w:sz w:val="18"/>
                <w:szCs w:val="18"/>
                <w:color w:val="0000FF"/>
                <w:w w:val="88"/>
              </w:rPr>
              <w:t>1,463</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6"/>
              </w:rPr>
              <w:t>406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February 27, 2020, the Reporting Person received a restricted share award of 450 Common Shares, which vests on January 1, 2023.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940" w:val="left"/>
          <w:tab w:leader="none" w:pos="3460" w:val="left"/>
        </w:tabs>
        <w:rPr>
          <w:sz w:val="20"/>
          <w:szCs w:val="20"/>
          <w:color w:val="auto"/>
        </w:rPr>
      </w:pPr>
      <w:r>
        <w:rPr>
          <w:rFonts w:ascii="Courier New" w:cs="Courier New" w:eastAsia="Courier New" w:hAnsi="Courier New"/>
          <w:sz w:val="18"/>
          <w:szCs w:val="18"/>
          <w:color w:val="auto"/>
        </w:rPr>
        <w:t>Date: December 27,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 Brian Palmer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2020-03-02T15:27:46Z</dcterms:created>
  <dcterms:modified xsi:type="dcterms:W3CDTF">2020-03-02T15:27:46Z</dcterms:modified>
</cp:coreProperties>
</file>