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7"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5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5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5446395</wp:posOffset>
            </wp:positionH>
            <wp:positionV relativeFrom="paragraph">
              <wp:posOffset>-640715</wp:posOffset>
            </wp:positionV>
            <wp:extent cx="59055" cy="654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05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-640715</wp:posOffset>
            </wp:positionV>
            <wp:extent cx="59055" cy="654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05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-1735455</wp:posOffset>
            </wp:positionH>
            <wp:positionV relativeFrom="paragraph">
              <wp:posOffset>18415</wp:posOffset>
            </wp:positionV>
            <wp:extent cx="7324090" cy="64452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445250"/>
                    </a:xfrm>
                    <a:prstGeom prst="rect">
                      <a:avLst/>
                    </a:prstGeom>
                    <a:noFill/>
                  </pic:spPr>
                </pic:pic>
              </a:graphicData>
            </a:graphic>
          </wp:anchor>
        </w:drawing>
      </w:r>
    </w:p>
    <w:p>
      <w:pPr>
        <w:spacing w:after="0" w:line="103" w:lineRule="exact"/>
        <w:rPr>
          <w:sz w:val="24"/>
          <w:szCs w:val="24"/>
          <w:color w:val="auto"/>
        </w:rPr>
      </w:pPr>
    </w:p>
    <w:p>
      <w:pPr>
        <w:sectPr>
          <w:pgSz w:w="11900" w:h="16905" w:orient="portrait"/>
          <w:cols w:equalWidth="0" w:num="2">
            <w:col w:w="2320" w:space="400"/>
            <w:col w:w="8800"/>
          </w:cols>
          <w:pgMar w:left="240" w:top="224" w:right="139" w:bottom="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BARRETTE RAYMOND JOSEPH RENE</w:t>
        </w:r>
      </w:hyperlink>
    </w:p>
    <w:p>
      <w:pPr>
        <w:spacing w:after="0" w:line="316"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200"/>
        <w:spacing w:after="0" w:line="350" w:lineRule="auto"/>
        <w:rPr>
          <w:sz w:val="20"/>
          <w:szCs w:val="20"/>
          <w:color w:val="auto"/>
        </w:rPr>
      </w:pPr>
      <w:r>
        <w:rPr>
          <w:rFonts w:ascii="Arial" w:cs="Arial" w:eastAsia="Arial" w:hAnsi="Arial"/>
          <w:sz w:val="17"/>
          <w:szCs w:val="17"/>
          <w:color w:val="0000FF"/>
        </w:rPr>
        <w:t>C/O WHITE MOUNTAINS INSURANCE GROUP 80 SOUTH MAIN STREET</w:t>
      </w:r>
    </w:p>
    <w:p>
      <w:pPr>
        <w:spacing w:after="0" w:line="190"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36"/>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20"/>
              <w:spacing w:after="0"/>
              <w:rPr>
                <w:sz w:val="20"/>
                <w:szCs w:val="20"/>
                <w:color w:val="auto"/>
              </w:rPr>
            </w:pPr>
            <w:r>
              <w:rPr>
                <w:rFonts w:ascii="Arial" w:cs="Arial" w:eastAsia="Arial" w:hAnsi="Arial"/>
                <w:sz w:val="17"/>
                <w:szCs w:val="17"/>
                <w:color w:val="0000FF"/>
              </w:rPr>
              <w:t>NH</w:t>
            </w:r>
          </w:p>
        </w:tc>
        <w:tc>
          <w:tcPr>
            <w:tcW w:w="1700" w:type="dxa"/>
            <w:vAlign w:val="bottom"/>
          </w:tcPr>
          <w:p>
            <w:pPr>
              <w:ind w:left="460"/>
              <w:spacing w:after="0"/>
              <w:rPr>
                <w:sz w:val="20"/>
                <w:szCs w:val="20"/>
                <w:color w:val="auto"/>
              </w:rPr>
            </w:pPr>
            <w:r>
              <w:rPr>
                <w:rFonts w:ascii="Arial" w:cs="Arial" w:eastAsia="Arial" w:hAnsi="Arial"/>
                <w:sz w:val="17"/>
                <w:szCs w:val="17"/>
                <w:color w:val="0000FF"/>
              </w:rPr>
              <w:t>03755</w:t>
            </w:r>
          </w:p>
        </w:tc>
      </w:tr>
      <w:tr>
        <w:trPr>
          <w:trHeight w:val="154"/>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700" w:type="dxa"/>
            <w:vAlign w:val="bottom"/>
          </w:tcPr>
          <w:p>
            <w:pPr>
              <w:ind w:left="4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92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3920" w:type="dxa"/>
            <w:vAlign w:val="bottom"/>
            <w:gridSpan w:val="3"/>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080" w:type="dxa"/>
            <w:vAlign w:val="bottom"/>
            <w:tcBorders>
              <w:bottom w:val="single" w:sz="8" w:color="0000EE"/>
            </w:tcBorders>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0"/>
        </w:trPr>
        <w:tc>
          <w:tcPr>
            <w:tcW w:w="80" w:type="dxa"/>
            <w:vAlign w:val="bottom"/>
          </w:tcPr>
          <w:p>
            <w:pPr>
              <w:spacing w:after="0"/>
              <w:rPr>
                <w:sz w:val="13"/>
                <w:szCs w:val="13"/>
                <w:color w:val="auto"/>
              </w:rPr>
            </w:pPr>
          </w:p>
        </w:tc>
        <w:tc>
          <w:tcPr>
            <w:tcW w:w="3920" w:type="dxa"/>
            <w:vAlign w:val="bottom"/>
            <w:gridSpan w:val="3"/>
            <w:vMerge w:val="restart"/>
          </w:tcPr>
          <w:p>
            <w:pPr>
              <w:spacing w:after="0" w:line="21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920" w:type="dxa"/>
            <w:vAlign w:val="bottom"/>
            <w:gridSpan w:val="3"/>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1"/>
                <w:szCs w:val="11"/>
                <w:color w:val="auto"/>
              </w:rPr>
            </w:pPr>
          </w:p>
        </w:tc>
        <w:tc>
          <w:tcPr>
            <w:tcW w:w="1160" w:type="dxa"/>
            <w:vAlign w:val="bottom"/>
            <w:tcBorders>
              <w:top w:val="single" w:sz="8" w:color="0000EE"/>
            </w:tcBorders>
          </w:tcPr>
          <w:p>
            <w:pPr>
              <w:spacing w:after="0"/>
              <w:rPr>
                <w:sz w:val="11"/>
                <w:szCs w:val="11"/>
                <w:color w:val="auto"/>
              </w:rPr>
            </w:pPr>
          </w:p>
        </w:tc>
        <w:tc>
          <w:tcPr>
            <w:tcW w:w="2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8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20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500" w:type="dxa"/>
            <w:vAlign w:val="bottom"/>
            <w:vMerge w:val="continue"/>
          </w:tcPr>
          <w:p>
            <w:pPr>
              <w:spacing w:after="0"/>
              <w:rPr>
                <w:sz w:val="9"/>
                <w:szCs w:val="9"/>
                <w:color w:val="auto"/>
              </w:rPr>
            </w:pPr>
          </w:p>
        </w:tc>
        <w:tc>
          <w:tcPr>
            <w:tcW w:w="1400" w:type="dxa"/>
            <w:vAlign w:val="bottom"/>
          </w:tcPr>
          <w:p>
            <w:pPr>
              <w:ind w:left="100"/>
              <w:spacing w:after="0" w:line="100" w:lineRule="exact"/>
              <w:rPr>
                <w:sz w:val="20"/>
                <w:szCs w:val="20"/>
                <w:color w:val="auto"/>
              </w:rPr>
            </w:pPr>
            <w:r>
              <w:rPr>
                <w:rFonts w:ascii="Arial" w:cs="Arial" w:eastAsia="Arial" w:hAnsi="Arial"/>
                <w:sz w:val="11"/>
                <w:szCs w:val="11"/>
                <w:color w:val="auto"/>
              </w:rPr>
              <w:t>below)</w:t>
            </w:r>
          </w:p>
        </w:tc>
        <w:tc>
          <w:tcPr>
            <w:tcW w:w="1500" w:type="dxa"/>
            <w:vAlign w:val="bottom"/>
          </w:tcPr>
          <w:p>
            <w:pPr>
              <w:ind w:left="340"/>
              <w:spacing w:after="0" w:line="100"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392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9"/>
                <w:szCs w:val="19"/>
                <w:color w:val="auto"/>
              </w:rPr>
            </w:pPr>
          </w:p>
        </w:tc>
        <w:tc>
          <w:tcPr>
            <w:tcW w:w="2900" w:type="dxa"/>
            <w:vAlign w:val="bottom"/>
            <w:gridSpan w:val="2"/>
          </w:tcPr>
          <w:p>
            <w:pPr>
              <w:ind w:left="600"/>
              <w:spacing w:after="0"/>
              <w:rPr>
                <w:sz w:val="20"/>
                <w:szCs w:val="20"/>
                <w:color w:val="auto"/>
              </w:rPr>
            </w:pPr>
            <w:r>
              <w:rPr>
                <w:rFonts w:ascii="Arial" w:cs="Arial" w:eastAsia="Arial" w:hAnsi="Arial"/>
                <w:sz w:val="17"/>
                <w:szCs w:val="17"/>
                <w:color w:val="0000FF"/>
              </w:rPr>
              <w:t>President &amp; CEO</w:t>
            </w:r>
          </w:p>
        </w:tc>
        <w:tc>
          <w:tcPr>
            <w:tcW w:w="0" w:type="dxa"/>
            <w:vAlign w:val="bottom"/>
          </w:tcPr>
          <w:p>
            <w:pPr>
              <w:spacing w:after="0"/>
              <w:rPr>
                <w:sz w:val="1"/>
                <w:szCs w:val="1"/>
                <w:color w:val="auto"/>
              </w:rPr>
            </w:pPr>
          </w:p>
        </w:tc>
      </w:tr>
      <w:tr>
        <w:trPr>
          <w:trHeight w:val="217"/>
        </w:trPr>
        <w:tc>
          <w:tcPr>
            <w:tcW w:w="1240" w:type="dxa"/>
            <w:vAlign w:val="bottom"/>
            <w:gridSpan w:val="2"/>
          </w:tcPr>
          <w:p>
            <w:pPr>
              <w:ind w:left="80"/>
              <w:spacing w:after="0"/>
              <w:rPr>
                <w:sz w:val="20"/>
                <w:szCs w:val="20"/>
                <w:color w:val="auto"/>
              </w:rPr>
            </w:pPr>
            <w:r>
              <w:rPr>
                <w:rFonts w:ascii="Arial" w:cs="Arial" w:eastAsia="Arial" w:hAnsi="Arial"/>
                <w:sz w:val="17"/>
                <w:szCs w:val="17"/>
                <w:color w:val="0000FF"/>
              </w:rPr>
              <w:t>09/28/2005</w:t>
            </w:r>
          </w:p>
        </w:tc>
        <w:tc>
          <w:tcPr>
            <w:tcW w:w="2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20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340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3920" w:type="dxa"/>
            <w:vAlign w:val="bottom"/>
            <w:gridSpan w:val="3"/>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27" w:lineRule="auto"/>
        <w:tabs>
          <w:tab w:leader="none" w:pos="46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0"/>
          <w:szCs w:val="20"/>
          <w:color w:val="auto"/>
        </w:rPr>
      </w:pPr>
    </w:p>
    <w:p>
      <w:pPr>
        <w:ind w:left="4620"/>
        <w:spacing w:after="0"/>
        <w:rPr>
          <w:sz w:val="20"/>
          <w:szCs w:val="20"/>
          <w:color w:val="auto"/>
        </w:rPr>
      </w:pPr>
      <w:r>
        <w:rPr>
          <w:rFonts w:ascii="Arial" w:cs="Arial" w:eastAsia="Arial" w:hAnsi="Arial"/>
          <w:sz w:val="13"/>
          <w:szCs w:val="13"/>
          <w:color w:val="auto"/>
        </w:rPr>
        <w:t>Form filed by More than One Reporting</w:t>
      </w:r>
    </w:p>
    <w:p>
      <w:pPr>
        <w:ind w:left="4620"/>
        <w:spacing w:after="0"/>
        <w:rPr>
          <w:sz w:val="20"/>
          <w:szCs w:val="20"/>
          <w:color w:val="auto"/>
        </w:rPr>
      </w:pPr>
      <w:r>
        <w:rPr>
          <w:rFonts w:ascii="Arial" w:cs="Arial" w:eastAsia="Arial" w:hAnsi="Arial"/>
          <w:sz w:val="13"/>
          <w:szCs w:val="13"/>
          <w:color w:val="auto"/>
        </w:rPr>
        <w:t>Person</w:t>
      </w:r>
    </w:p>
    <w:p>
      <w:pPr>
        <w:spacing w:after="0" w:line="361" w:lineRule="exact"/>
        <w:rPr>
          <w:sz w:val="20"/>
          <w:szCs w:val="20"/>
          <w:color w:val="auto"/>
        </w:rPr>
      </w:pPr>
    </w:p>
    <w:p>
      <w:pPr>
        <w:sectPr>
          <w:pgSz w:w="11900" w:h="16905" w:orient="portrait"/>
          <w:cols w:equalWidth="0" w:num="2">
            <w:col w:w="3920" w:space="80"/>
            <w:col w:w="752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60" w:type="dxa"/>
            <w:vAlign w:val="bottom"/>
          </w:tcPr>
          <w:p>
            <w:pPr>
              <w:spacing w:after="0"/>
              <w:rPr>
                <w:sz w:val="13"/>
                <w:szCs w:val="13"/>
                <w:color w:val="auto"/>
              </w:rPr>
            </w:pP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ind w:left="640"/>
              <w:spacing w:after="0" w:line="129"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20" w:type="dxa"/>
            <w:vAlign w:val="bottom"/>
            <w:gridSpan w:val="2"/>
          </w:tcPr>
          <w:p>
            <w:pPr>
              <w:ind w:left="640"/>
              <w:spacing w:after="0" w:line="132"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2"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60" w:type="dxa"/>
            <w:vAlign w:val="bottom"/>
            <w:gridSpan w:val="3"/>
          </w:tcPr>
          <w:p>
            <w:pPr>
              <w:jc w:val="center"/>
              <w:spacing w:after="0"/>
              <w:rPr>
                <w:sz w:val="20"/>
                <w:szCs w:val="20"/>
                <w:color w:val="auto"/>
              </w:rPr>
            </w:pPr>
            <w:r>
              <w:rPr>
                <w:rFonts w:ascii="Arial" w:cs="Arial" w:eastAsia="Arial" w:hAnsi="Arial"/>
                <w:sz w:val="17"/>
                <w:szCs w:val="17"/>
                <w:color w:val="0000FF"/>
                <w:w w:val="88"/>
              </w:rPr>
              <w:t>17,719</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60" w:type="dxa"/>
            <w:vAlign w:val="bottom"/>
            <w:gridSpan w:val="3"/>
          </w:tcPr>
          <w:p>
            <w:pPr>
              <w:jc w:val="center"/>
              <w:spacing w:after="0"/>
              <w:rPr>
                <w:sz w:val="20"/>
                <w:szCs w:val="20"/>
                <w:color w:val="auto"/>
              </w:rPr>
            </w:pPr>
            <w:r>
              <w:rPr>
                <w:rFonts w:ascii="Arial" w:cs="Arial" w:eastAsia="Arial" w:hAnsi="Arial"/>
                <w:sz w:val="17"/>
                <w:szCs w:val="17"/>
                <w:color w:val="0000FF"/>
                <w:w w:val="89"/>
              </w:rPr>
              <w:t>3,700</w:t>
            </w:r>
          </w:p>
        </w:tc>
        <w:tc>
          <w:tcPr>
            <w:tcW w:w="30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ind w:left="20"/>
              <w:spacing w:after="0"/>
              <w:rPr>
                <w:sz w:val="20"/>
                <w:szCs w:val="20"/>
                <w:color w:val="auto"/>
              </w:rPr>
            </w:pPr>
            <w:r>
              <w:rPr>
                <w:rFonts w:ascii="Arial" w:cs="Arial" w:eastAsia="Arial" w:hAnsi="Arial"/>
                <w:sz w:val="17"/>
                <w:szCs w:val="17"/>
                <w:color w:val="0000FF"/>
              </w:rPr>
              <w:t>By IRA</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34"/>
                <w:szCs w:val="34"/>
                <w:color w:val="0000FF"/>
                <w:w w:val="74"/>
                <w:vertAlign w:val="subscript"/>
              </w:rPr>
              <w:t>612</w:t>
            </w:r>
            <w:r>
              <w:rPr>
                <w:rFonts w:ascii="Arial" w:cs="Arial" w:eastAsia="Arial" w:hAnsi="Arial"/>
                <w:sz w:val="11"/>
                <w:szCs w:val="11"/>
                <w:color w:val="008000"/>
                <w:w w:val="74"/>
              </w:rPr>
              <w:t>(1)</w:t>
            </w:r>
          </w:p>
        </w:tc>
        <w:tc>
          <w:tcPr>
            <w:tcW w:w="300" w:type="dxa"/>
            <w:vAlign w:val="bottom"/>
          </w:tcPr>
          <w:p>
            <w:pPr>
              <w:spacing w:after="0"/>
              <w:rPr>
                <w:sz w:val="22"/>
                <w:szCs w:val="22"/>
                <w:color w:val="auto"/>
              </w:rPr>
            </w:pPr>
          </w:p>
        </w:tc>
        <w:tc>
          <w:tcPr>
            <w:tcW w:w="6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7"/>
          </w:tcPr>
          <w:p>
            <w:pPr>
              <w:spacing w:after="0"/>
              <w:rPr>
                <w:sz w:val="8"/>
                <w:szCs w:val="8"/>
                <w:color w:val="auto"/>
              </w:rPr>
            </w:pPr>
          </w:p>
        </w:tc>
        <w:tc>
          <w:tcPr>
            <w:tcW w:w="278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10"/>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2"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2"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2"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84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60" w:type="dxa"/>
            <w:vAlign w:val="bottom"/>
            <w:vMerge w:val="restart"/>
          </w:tcPr>
          <w:p>
            <w:pPr>
              <w:jc w:val="right"/>
              <w:ind w:right="174"/>
              <w:spacing w:after="0"/>
              <w:rPr>
                <w:sz w:val="20"/>
                <w:szCs w:val="20"/>
                <w:color w:val="auto"/>
              </w:rPr>
            </w:pPr>
            <w:r>
              <w:rPr>
                <w:rFonts w:ascii="Arial" w:cs="Arial" w:eastAsia="Arial" w:hAnsi="Arial"/>
                <w:sz w:val="13"/>
                <w:szCs w:val="13"/>
                <w:color w:val="0000FF"/>
              </w:rPr>
              <w:t>09/28/2005</w:t>
            </w:r>
          </w:p>
        </w:tc>
        <w:tc>
          <w:tcPr>
            <w:tcW w:w="1120" w:type="dxa"/>
            <w:vAlign w:val="bottom"/>
          </w:tcPr>
          <w:p>
            <w:pPr>
              <w:spacing w:after="0"/>
              <w:rPr>
                <w:sz w:val="12"/>
                <w:szCs w:val="12"/>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12"/>
                <w:szCs w:val="12"/>
                <w:color w:val="auto"/>
              </w:rPr>
            </w:pPr>
          </w:p>
        </w:tc>
        <w:tc>
          <w:tcPr>
            <w:tcW w:w="520" w:type="dxa"/>
            <w:vAlign w:val="bottom"/>
            <w:vMerge w:val="restart"/>
          </w:tcPr>
          <w:p>
            <w:pPr>
              <w:jc w:val="center"/>
              <w:ind w:right="60"/>
              <w:spacing w:after="0" w:line="272" w:lineRule="exact"/>
              <w:rPr>
                <w:sz w:val="20"/>
                <w:szCs w:val="20"/>
                <w:color w:val="auto"/>
              </w:rPr>
            </w:pPr>
            <w:r>
              <w:rPr>
                <w:rFonts w:ascii="Arial" w:cs="Arial" w:eastAsia="Arial" w:hAnsi="Arial"/>
                <w:sz w:val="26"/>
                <w:szCs w:val="26"/>
                <w:color w:val="0000FF"/>
                <w:vertAlign w:val="subscript"/>
              </w:rPr>
              <w:t>25</w:t>
            </w:r>
            <w:r>
              <w:rPr>
                <w:rFonts w:ascii="Arial" w:cs="Arial" w:eastAsia="Arial" w:hAnsi="Arial"/>
                <w:sz w:val="11"/>
                <w:szCs w:val="11"/>
                <w:color w:val="008000"/>
              </w:rPr>
              <w:t>(3)</w:t>
            </w:r>
          </w:p>
        </w:tc>
        <w:tc>
          <w:tcPr>
            <w:tcW w:w="30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4"/>
              </w:rPr>
              <w:t>25</w:t>
            </w: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601.75</w:t>
            </w:r>
            <w:r>
              <w:rPr>
                <w:rFonts w:ascii="Arial" w:cs="Arial" w:eastAsia="Arial" w:hAnsi="Arial"/>
                <w:sz w:val="21"/>
                <w:szCs w:val="21"/>
                <w:color w:val="008000"/>
                <w:vertAlign w:val="superscript"/>
              </w:rPr>
              <w:t>(5)</w:t>
            </w:r>
          </w:p>
        </w:tc>
        <w:tc>
          <w:tcPr>
            <w:tcW w:w="600" w:type="dxa"/>
            <w:vAlign w:val="bottom"/>
            <w:vMerge w:val="restart"/>
          </w:tcPr>
          <w:p>
            <w:pPr>
              <w:jc w:val="center"/>
              <w:ind w:left="199"/>
              <w:spacing w:after="0"/>
              <w:rPr>
                <w:sz w:val="20"/>
                <w:szCs w:val="20"/>
                <w:color w:val="auto"/>
              </w:rPr>
            </w:pPr>
            <w:r>
              <w:rPr>
                <w:rFonts w:ascii="Arial" w:cs="Arial" w:eastAsia="Arial" w:hAnsi="Arial"/>
                <w:sz w:val="13"/>
                <w:szCs w:val="13"/>
                <w:color w:val="0000FF"/>
                <w:w w:val="92"/>
              </w:rPr>
              <w:t>7,741</w:t>
            </w:r>
          </w:p>
        </w:tc>
        <w:tc>
          <w:tcPr>
            <w:tcW w:w="300" w:type="dxa"/>
            <w:vAlign w:val="bottom"/>
          </w:tcPr>
          <w:p>
            <w:pPr>
              <w:spacing w:after="0"/>
              <w:rPr>
                <w:sz w:val="12"/>
                <w:szCs w:val="12"/>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(Deferred</w:t>
            </w:r>
          </w:p>
        </w:tc>
        <w:tc>
          <w:tcPr>
            <w:tcW w:w="84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ind w:left="140"/>
              <w:spacing w:after="0" w:line="146" w:lineRule="exact"/>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w w:val="97"/>
              </w:rPr>
              <w:t>Compensation)</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84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60" w:type="dxa"/>
            <w:vAlign w:val="bottom"/>
            <w:vMerge w:val="restart"/>
          </w:tcPr>
          <w:p>
            <w:pPr>
              <w:jc w:val="right"/>
              <w:ind w:right="174"/>
              <w:spacing w:after="0"/>
              <w:rPr>
                <w:sz w:val="20"/>
                <w:szCs w:val="20"/>
                <w:color w:val="auto"/>
              </w:rPr>
            </w:pPr>
            <w:r>
              <w:rPr>
                <w:rFonts w:ascii="Arial" w:cs="Arial" w:eastAsia="Arial" w:hAnsi="Arial"/>
                <w:sz w:val="13"/>
                <w:szCs w:val="13"/>
                <w:color w:val="0000FF"/>
              </w:rPr>
              <w:t>09/28/2005</w:t>
            </w:r>
          </w:p>
        </w:tc>
        <w:tc>
          <w:tcPr>
            <w:tcW w:w="1120" w:type="dxa"/>
            <w:vAlign w:val="bottom"/>
          </w:tcPr>
          <w:p>
            <w:pPr>
              <w:spacing w:after="0"/>
              <w:rPr>
                <w:sz w:val="12"/>
                <w:szCs w:val="12"/>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12"/>
                <w:szCs w:val="12"/>
                <w:color w:val="auto"/>
              </w:rPr>
            </w:pPr>
          </w:p>
        </w:tc>
        <w:tc>
          <w:tcPr>
            <w:tcW w:w="520" w:type="dxa"/>
            <w:vAlign w:val="bottom"/>
            <w:vMerge w:val="restart"/>
          </w:tcPr>
          <w:p>
            <w:pPr>
              <w:jc w:val="center"/>
              <w:ind w:right="40"/>
              <w:spacing w:after="0"/>
              <w:rPr>
                <w:sz w:val="20"/>
                <w:szCs w:val="20"/>
                <w:color w:val="auto"/>
              </w:rPr>
            </w:pPr>
            <w:r>
              <w:rPr>
                <w:rFonts w:ascii="Arial" w:cs="Arial" w:eastAsia="Arial" w:hAnsi="Arial"/>
                <w:sz w:val="13"/>
                <w:szCs w:val="13"/>
                <w:color w:val="0000FF"/>
                <w:w w:val="97"/>
              </w:rPr>
              <w:t>136</w:t>
            </w:r>
            <w:r>
              <w:rPr>
                <w:rFonts w:ascii="Arial" w:cs="Arial" w:eastAsia="Arial" w:hAnsi="Arial"/>
                <w:sz w:val="21"/>
                <w:szCs w:val="21"/>
                <w:color w:val="008000"/>
                <w:w w:val="97"/>
                <w:vertAlign w:val="superscript"/>
              </w:rPr>
              <w:t>(3)</w:t>
            </w:r>
          </w:p>
        </w:tc>
        <w:tc>
          <w:tcPr>
            <w:tcW w:w="30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(6)</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1"/>
              </w:rPr>
              <w:t>136</w:t>
            </w: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601.75</w:t>
            </w:r>
            <w:r>
              <w:rPr>
                <w:rFonts w:ascii="Arial" w:cs="Arial" w:eastAsia="Arial" w:hAnsi="Arial"/>
                <w:sz w:val="21"/>
                <w:szCs w:val="21"/>
                <w:color w:val="008000"/>
                <w:vertAlign w:val="superscript"/>
              </w:rPr>
              <w:t>(5)</w:t>
            </w:r>
          </w:p>
        </w:tc>
        <w:tc>
          <w:tcPr>
            <w:tcW w:w="9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0"/>
              </w:rPr>
              <w:t>41,295</w:t>
            </w: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(Deferred</w:t>
            </w:r>
          </w:p>
        </w:tc>
        <w:tc>
          <w:tcPr>
            <w:tcW w:w="84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ind w:left="140"/>
              <w:spacing w:after="0" w:line="146" w:lineRule="exact"/>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Compensation</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Common</w:t>
            </w:r>
          </w:p>
        </w:tc>
        <w:tc>
          <w:tcPr>
            <w:tcW w:w="840" w:type="dxa"/>
            <w:vAlign w:val="bottom"/>
            <w:vMerge w:val="restart"/>
          </w:tcPr>
          <w:p>
            <w:pPr>
              <w:ind w:left="340"/>
              <w:spacing w:after="0"/>
              <w:rPr>
                <w:sz w:val="20"/>
                <w:szCs w:val="20"/>
                <w:color w:val="auto"/>
              </w:rPr>
            </w:pPr>
            <w:r>
              <w:rPr>
                <w:rFonts w:ascii="Arial" w:cs="Arial" w:eastAsia="Arial" w:hAnsi="Arial"/>
                <w:sz w:val="11"/>
                <w:szCs w:val="11"/>
                <w:color w:val="008000"/>
              </w:rPr>
              <w:t>(7)</w:t>
            </w: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(8)</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5"/>
              </w:rPr>
              <w:t>02/28/2010</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rPr>
              <w:t>0</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vMerge w:val="restart"/>
          </w:tcPr>
          <w:p>
            <w:pPr>
              <w:jc w:val="center"/>
              <w:ind w:left="199"/>
              <w:spacing w:after="0"/>
              <w:rPr>
                <w:sz w:val="20"/>
                <w:szCs w:val="20"/>
                <w:color w:val="auto"/>
              </w:rPr>
            </w:pPr>
            <w:r>
              <w:rPr>
                <w:rFonts w:ascii="Arial" w:cs="Arial" w:eastAsia="Arial" w:hAnsi="Arial"/>
                <w:sz w:val="13"/>
                <w:szCs w:val="13"/>
                <w:color w:val="0000FF"/>
                <w:w w:val="92"/>
              </w:rPr>
              <w:t>7,230</w:t>
            </w:r>
          </w:p>
        </w:tc>
        <w:tc>
          <w:tcPr>
            <w:tcW w:w="300" w:type="dxa"/>
            <w:vAlign w:val="bottom"/>
          </w:tcPr>
          <w:p>
            <w:pPr>
              <w:spacing w:after="0"/>
              <w:rPr>
                <w:sz w:val="16"/>
                <w:szCs w:val="16"/>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40" w:type="dxa"/>
            <w:vAlign w:val="bottom"/>
            <w:vMerge w:val="restart"/>
          </w:tcPr>
          <w:p>
            <w:pPr>
              <w:ind w:left="60"/>
              <w:spacing w:after="0"/>
              <w:rPr>
                <w:sz w:val="20"/>
                <w:szCs w:val="20"/>
                <w:color w:val="auto"/>
              </w:rPr>
            </w:pPr>
            <w:r>
              <w:rPr>
                <w:rFonts w:ascii="Arial" w:cs="Arial" w:eastAsia="Arial" w:hAnsi="Arial"/>
                <w:sz w:val="13"/>
                <w:szCs w:val="13"/>
                <w:color w:val="0000FF"/>
              </w:rPr>
              <w:t>Share Options</w:t>
            </w:r>
          </w:p>
        </w:tc>
        <w:tc>
          <w:tcPr>
            <w:tcW w:w="8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70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280" w:firstLine="5"/>
        <w:spacing w:after="0" w:line="258"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Since June 23, 2005, the date of Reporting Person's last filing, Reporting Person acquired 19 shares of WTM's Common Shares under the Folksamerica 401(k) Plan. WTM Common Shares are purchased at fair market value on the date of purchase. The information in this report is based on a plan statement dated as of August 31, 2005.</w:t>
      </w:r>
    </w:p>
    <w:p>
      <w:pPr>
        <w:spacing w:after="0" w:line="21"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8" w:lineRule="exact"/>
        <w:rPr>
          <w:rFonts w:ascii="Arial" w:cs="Arial" w:eastAsia="Arial" w:hAnsi="Arial"/>
          <w:sz w:val="13"/>
          <w:szCs w:val="13"/>
          <w:color w:val="008000"/>
        </w:rPr>
      </w:pPr>
    </w:p>
    <w:p>
      <w:pPr>
        <w:ind w:left="40" w:right="380" w:firstLine="5"/>
        <w:spacing w:after="0" w:line="258"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September 28, 2005, the Reporting Person's deferred compensation account was credited with Phantom Shares equal in value to the ordinary dividend paid on the underlying WTM Common Shares on the dividend date.</w:t>
      </w:r>
    </w:p>
    <w:p>
      <w:pPr>
        <w:spacing w:after="0" w:line="21"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Payment of deferred compensation balances is due in cash based on a predetermined Payment Schedule entered into in October 1999 by the Reporting Person.</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Dividends are automatically invested in Phantom Shares at the fair market price of the underlying WTM Common Shares on September 28, 2005, the date the dividends are deemed to be paid.</w:t>
      </w:r>
    </w:p>
    <w:p>
      <w:pPr>
        <w:spacing w:after="0" w:line="48" w:lineRule="exact"/>
        <w:rPr>
          <w:rFonts w:ascii="Arial" w:cs="Arial" w:eastAsia="Arial" w:hAnsi="Arial"/>
          <w:sz w:val="13"/>
          <w:szCs w:val="13"/>
          <w:color w:val="008000"/>
        </w:rPr>
      </w:pPr>
    </w:p>
    <w:p>
      <w:pPr>
        <w:ind w:left="40" w:right="440" w:firstLine="5"/>
        <w:spacing w:after="0" w:line="258"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payable, at the election of the Company, in cash or in Common Shares following termination of the Reporting Person's employment with the Company or beginning at an earlier date selected by the Reporting Person in accordance with the terms of the deferred compensation plan.</w:t>
      </w:r>
    </w:p>
    <w:p>
      <w:pPr>
        <w:spacing w:after="0" w:line="21" w:lineRule="exact"/>
        <w:rPr>
          <w:rFonts w:ascii="Arial" w:cs="Arial" w:eastAsia="Arial" w:hAnsi="Arial"/>
          <w:sz w:val="13"/>
          <w:szCs w:val="13"/>
          <w:color w:val="008000"/>
        </w:rPr>
      </w:pPr>
    </w:p>
    <w:p>
      <w:pPr>
        <w:ind w:left="40" w:right="400" w:firstLine="5"/>
        <w:spacing w:after="0" w:line="258"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28, 2000, the Reporting Person was granted options to purchase WTM Common Shares on a 1 for 1 basis at an initial exercise price of $106.19. The exercise price increases by 6% annually on a cumulative basis.</w:t>
      </w:r>
    </w:p>
    <w:p>
      <w:pPr>
        <w:spacing w:after="0" w:line="21" w:lineRule="exact"/>
        <w:rPr>
          <w:rFonts w:ascii="Arial" w:cs="Arial" w:eastAsia="Arial" w:hAnsi="Arial"/>
          <w:sz w:val="13"/>
          <w:szCs w:val="13"/>
          <w:color w:val="008000"/>
        </w:rPr>
      </w:pPr>
    </w:p>
    <w:p>
      <w:pPr>
        <w:ind w:left="40" w:right="140" w:firstLine="5"/>
        <w:spacing w:after="0" w:line="246"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Reporting Person was originally granted 9,000 options to purchase Common Shares on February 28, 2000. 900 options become exercisable annually over a ten-year period. 335 options were exercised on December 27, 2001 at an exercise price of $118.15, 1,000 options were exercised on December 30, 2002 at an exercise price of $125.30, and 435 options were exercised on December 20, 2004 at an exercise price of $140.75.</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Dennis Beaulieu, by Power of</w:t>
            </w:r>
          </w:p>
        </w:tc>
        <w:tc>
          <w:tcPr>
            <w:tcW w:w="100" w:type="dxa"/>
            <w:vAlign w:val="bottom"/>
          </w:tcPr>
          <w:p>
            <w:pPr>
              <w:spacing w:after="0"/>
              <w:rPr>
                <w:sz w:val="16"/>
                <w:szCs w:val="16"/>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09/30/2005</w:t>
            </w:r>
          </w:p>
        </w:tc>
        <w:tc>
          <w:tcPr>
            <w:tcW w:w="0" w:type="dxa"/>
            <w:vAlign w:val="bottom"/>
          </w:tcPr>
          <w:p>
            <w:pPr>
              <w:spacing w:after="0"/>
              <w:rPr>
                <w:sz w:val="1"/>
                <w:szCs w:val="1"/>
                <w:color w:val="auto"/>
              </w:rPr>
            </w:pPr>
          </w:p>
        </w:tc>
      </w:tr>
      <w:tr>
        <w:trPr>
          <w:trHeight w:val="86"/>
        </w:trPr>
        <w:tc>
          <w:tcPr>
            <w:tcW w:w="620" w:type="dxa"/>
            <w:vAlign w:val="bottom"/>
            <w:vMerge w:val="restart"/>
          </w:tcPr>
          <w:p>
            <w:pPr>
              <w:spacing w:after="0" w:line="191" w:lineRule="exact"/>
              <w:rPr>
                <w:sz w:val="20"/>
                <w:szCs w:val="20"/>
                <w:color w:val="auto"/>
              </w:rPr>
            </w:pPr>
            <w:r>
              <w:rPr>
                <w:rFonts w:ascii="Arial" w:cs="Arial" w:eastAsia="Arial" w:hAnsi="Arial"/>
                <w:sz w:val="17"/>
                <w:szCs w:val="17"/>
                <w:color w:val="0000FF"/>
                <w:w w:val="94"/>
              </w:rPr>
              <w:t>Attorney</w:t>
            </w:r>
          </w:p>
        </w:tc>
        <w:tc>
          <w:tcPr>
            <w:tcW w:w="156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620" w:type="dxa"/>
            <w:vAlign w:val="bottom"/>
            <w:tcBorders>
              <w:bottom w:val="single" w:sz="8" w:color="auto"/>
            </w:tcBorders>
            <w:vMerge w:val="continue"/>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860" w:firstLine="5"/>
        <w:spacing w:after="0" w:line="316"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905" w:orient="portrait"/>
          <w:cols w:equalWidth="0" w:num="1">
            <w:col w:w="11520"/>
          </w:cols>
          <w:pgMar w:left="240" w:top="224" w:right="139" w:bottom="0" w:gutter="0" w:footer="0" w:header="0"/>
          <w:type w:val="continuous"/>
        </w:sectPr>
      </w:pPr>
    </w:p>
    <w:bookmarkStart w:id="1" w:name="page2"/>
    <w:bookmarkEnd w:id="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ind w:right="3719"/>
        <w:spacing w:after="0" w:line="246"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Brian Palmer, Chief Accounting Officer, Robert L. Seelig, General Counsel, and</w:t>
      </w:r>
    </w:p>
    <w:p>
      <w:pPr>
        <w:spacing w:after="0" w:line="2" w:lineRule="exact"/>
        <w:rPr>
          <w:sz w:val="20"/>
          <w:szCs w:val="20"/>
          <w:color w:val="auto"/>
        </w:rPr>
      </w:pPr>
    </w:p>
    <w:p>
      <w:pPr>
        <w:ind w:right="4139"/>
        <w:spacing w:after="0" w:line="246" w:lineRule="auto"/>
        <w:rPr>
          <w:sz w:val="20"/>
          <w:szCs w:val="20"/>
          <w:color w:val="auto"/>
        </w:rPr>
      </w:pPr>
      <w:r>
        <w:rPr>
          <w:rFonts w:ascii="Courier New" w:cs="Courier New" w:eastAsia="Courier New" w:hAnsi="Courier New"/>
          <w:sz w:val="17"/>
          <w:szCs w:val="17"/>
          <w:color w:val="auto"/>
        </w:rPr>
        <w:t>Dennis P. Beaulieu, Secretary, of White Mountains Insurance Group, Ltd., signing singly, the undersigned's true and lawful attorney-in-fact to:</w:t>
      </w:r>
    </w:p>
    <w:p>
      <w:pPr>
        <w:spacing w:after="0" w:line="2" w:lineRule="exact"/>
        <w:rPr>
          <w:sz w:val="20"/>
          <w:szCs w:val="20"/>
          <w:color w:val="auto"/>
        </w:rPr>
      </w:pPr>
    </w:p>
    <w:p>
      <w:pPr>
        <w:ind w:right="3939" w:firstLine="6"/>
        <w:spacing w:after="0" w:line="246" w:lineRule="auto"/>
        <w:tabs>
          <w:tab w:leader="none" w:pos="4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2" w:lineRule="exact"/>
        <w:rPr>
          <w:rFonts w:ascii="Courier New" w:cs="Courier New" w:eastAsia="Courier New" w:hAnsi="Courier New"/>
          <w:sz w:val="17"/>
          <w:szCs w:val="17"/>
          <w:color w:val="auto"/>
        </w:rPr>
      </w:pPr>
    </w:p>
    <w:p>
      <w:pPr>
        <w:ind w:right="3839" w:firstLine="6"/>
        <w:spacing w:after="0" w:line="246" w:lineRule="auto"/>
        <w:tabs>
          <w:tab w:leader="none" w:pos="4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7"/>
          <w:szCs w:val="17"/>
          <w:color w:val="auto"/>
        </w:rPr>
      </w:pPr>
    </w:p>
    <w:p>
      <w:pPr>
        <w:ind w:right="341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3" w:lineRule="exact"/>
        <w:rPr>
          <w:rFonts w:ascii="Courier New" w:cs="Courier New" w:eastAsia="Courier New" w:hAnsi="Courier New"/>
          <w:sz w:val="17"/>
          <w:szCs w:val="17"/>
          <w:color w:val="auto"/>
        </w:rPr>
      </w:pPr>
    </w:p>
    <w:p>
      <w:pPr>
        <w:ind w:right="331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3" w:lineRule="exact"/>
        <w:rPr>
          <w:rFonts w:ascii="Courier New" w:cs="Courier New" w:eastAsia="Courier New" w:hAnsi="Courier New"/>
          <w:sz w:val="17"/>
          <w:szCs w:val="17"/>
          <w:color w:val="auto"/>
        </w:rPr>
      </w:pPr>
    </w:p>
    <w:p>
      <w:pPr>
        <w:ind w:right="341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7" w:lineRule="exact"/>
        <w:rPr>
          <w:rFonts w:ascii="Courier New" w:cs="Courier New" w:eastAsia="Courier New" w:hAnsi="Courier New"/>
          <w:sz w:val="17"/>
          <w:szCs w:val="17"/>
          <w:color w:val="auto"/>
        </w:rPr>
      </w:pPr>
    </w:p>
    <w:p>
      <w:pPr>
        <w:ind w:right="361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4" w:lineRule="exact"/>
        <w:rPr>
          <w:rFonts w:ascii="Courier New" w:cs="Courier New" w:eastAsia="Courier New" w:hAnsi="Courier New"/>
          <w:sz w:val="17"/>
          <w:szCs w:val="17"/>
          <w:color w:val="auto"/>
        </w:rPr>
      </w:pPr>
    </w:p>
    <w:p>
      <w:pPr>
        <w:ind w:right="331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spacing w:after="0" w:line="1" w:lineRule="exact"/>
        <w:rPr>
          <w:rFonts w:ascii="Courier New" w:cs="Courier New" w:eastAsia="Courier New" w:hAnsi="Courier New"/>
          <w:sz w:val="17"/>
          <w:szCs w:val="17"/>
          <w:color w:val="auto"/>
        </w:rPr>
      </w:pPr>
    </w:p>
    <w:p>
      <w:pPr>
        <w:ind w:right="403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3" w:lineRule="exact"/>
        <w:rPr>
          <w:rFonts w:ascii="Courier New" w:cs="Courier New" w:eastAsia="Courier New" w:hAnsi="Courier New"/>
          <w:sz w:val="17"/>
          <w:szCs w:val="17"/>
          <w:color w:val="auto"/>
        </w:rPr>
      </w:pPr>
    </w:p>
    <w:p>
      <w:pPr>
        <w:ind w:right="495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9th day of January, 2004.</w:t>
      </w:r>
    </w:p>
    <w:p>
      <w:pPr>
        <w:spacing w:after="0" w:line="20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Raymond Barrette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6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2019-12-17T10:58:21Z</dcterms:created>
  <dcterms:modified xsi:type="dcterms:W3CDTF">2019-12-17T10:58:21Z</dcterms:modified>
</cp:coreProperties>
</file>