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948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84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SEELIG ROBERT LAWRENCE</w:t>
              </w:r>
            </w:hyperlink>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3"/>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WHITE MOUNTAINS INSURANCE</w:t>
              </w:r>
            </w:hyperlink>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840" w:type="dxa"/>
            <w:vAlign w:val="bottom"/>
            <w:gridSpan w:val="3"/>
            <w:vMerge w:val="continue"/>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840" w:type="dxa"/>
            <w:vAlign w:val="bottom"/>
            <w:gridSpan w:val="3"/>
            <w:vMerge w:val="continue"/>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0000EE"/>
            </w:tcBorders>
          </w:tcPr>
          <w:p>
            <w:pPr>
              <w:spacing w:after="0"/>
              <w:rPr>
                <w:sz w:val="2"/>
                <w:szCs w:val="2"/>
                <w:color w:val="auto"/>
              </w:rPr>
            </w:pPr>
          </w:p>
        </w:tc>
        <w:tc>
          <w:tcPr>
            <w:tcW w:w="210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840" w:type="dxa"/>
            <w:vAlign w:val="bottom"/>
            <w:tcBorders>
              <w:bottom w:val="single" w:sz="8" w:color="0000EE"/>
            </w:tcBorders>
            <w:gridSpan w:val="3"/>
            <w:vMerge w:val="continue"/>
          </w:tcPr>
          <w:p>
            <w:pPr>
              <w:spacing w:after="0"/>
              <w:rPr>
                <w:sz w:val="5"/>
                <w:szCs w:val="5"/>
                <w:color w:val="auto"/>
              </w:rPr>
            </w:pPr>
          </w:p>
        </w:tc>
        <w:tc>
          <w:tcPr>
            <w:tcW w:w="80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3"/>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2840" w:type="dxa"/>
            <w:vAlign w:val="bottom"/>
            <w:gridSpan w:val="3"/>
          </w:tcPr>
          <w:p>
            <w:pPr>
              <w:spacing w:after="0"/>
              <w:rPr>
                <w:sz w:val="4"/>
                <w:szCs w:val="4"/>
                <w:color w:val="auto"/>
              </w:rPr>
            </w:pPr>
          </w:p>
        </w:tc>
        <w:tc>
          <w:tcPr>
            <w:tcW w:w="8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3"/>
            <w:vMerge w:val="continue"/>
          </w:tcPr>
          <w:p>
            <w:pPr>
              <w:spacing w:after="0"/>
              <w:rPr>
                <w:sz w:val="8"/>
                <w:szCs w:val="8"/>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Borders>
              <w:top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100" w:type="dxa"/>
            <w:vAlign w:val="bottom"/>
            <w:tcBorders>
              <w:top w:val="single" w:sz="8" w:color="EEEEEE"/>
            </w:tcBorders>
          </w:tcPr>
          <w:p>
            <w:pPr>
              <w:spacing w:after="0"/>
              <w:rPr>
                <w:sz w:val="10"/>
                <w:szCs w:val="10"/>
                <w:color w:val="auto"/>
              </w:rPr>
            </w:pPr>
          </w:p>
        </w:tc>
        <w:tc>
          <w:tcPr>
            <w:tcW w:w="900" w:type="dxa"/>
            <w:vAlign w:val="bottom"/>
            <w:tcBorders>
              <w:top w:val="single" w:sz="8" w:color="EEEEEE"/>
            </w:tcBorders>
          </w:tcPr>
          <w:p>
            <w:pPr>
              <w:spacing w:after="0"/>
              <w:rPr>
                <w:sz w:val="10"/>
                <w:szCs w:val="10"/>
                <w:color w:val="auto"/>
              </w:rPr>
            </w:pPr>
          </w:p>
        </w:tc>
        <w:tc>
          <w:tcPr>
            <w:tcW w:w="840" w:type="dxa"/>
            <w:vAlign w:val="bottom"/>
            <w:tcBorders>
              <w:top w:val="single" w:sz="8" w:color="EEEEEE"/>
            </w:tcBorders>
          </w:tcPr>
          <w:p>
            <w:pPr>
              <w:spacing w:after="0"/>
              <w:rPr>
                <w:sz w:val="10"/>
                <w:szCs w:val="10"/>
                <w:color w:val="auto"/>
              </w:rPr>
            </w:pPr>
          </w:p>
        </w:tc>
        <w:tc>
          <w:tcPr>
            <w:tcW w:w="80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1100" w:type="dxa"/>
            <w:vAlign w:val="bottom"/>
            <w:vMerge w:val="restart"/>
          </w:tcPr>
          <w:p>
            <w:pPr>
              <w:spacing w:after="0" w:line="102" w:lineRule="exact"/>
              <w:rPr>
                <w:sz w:val="20"/>
                <w:szCs w:val="20"/>
                <w:color w:val="auto"/>
              </w:rPr>
            </w:pPr>
            <w:r>
              <w:rPr>
                <w:rFonts w:ascii="Arial" w:cs="Arial" w:eastAsia="Arial" w:hAnsi="Arial"/>
                <w:sz w:val="11"/>
                <w:szCs w:val="11"/>
                <w:color w:val="auto"/>
              </w:rPr>
              <w:t>(Last)</w:t>
            </w:r>
          </w:p>
        </w:tc>
        <w:tc>
          <w:tcPr>
            <w:tcW w:w="900" w:type="dxa"/>
            <w:vAlign w:val="bottom"/>
            <w:vMerge w:val="restart"/>
          </w:tcPr>
          <w:p>
            <w:pPr>
              <w:ind w:left="120"/>
              <w:spacing w:after="0" w:line="102" w:lineRule="exact"/>
              <w:rPr>
                <w:sz w:val="20"/>
                <w:szCs w:val="20"/>
                <w:color w:val="auto"/>
              </w:rPr>
            </w:pPr>
            <w:r>
              <w:rPr>
                <w:rFonts w:ascii="Arial" w:cs="Arial" w:eastAsia="Arial" w:hAnsi="Arial"/>
                <w:sz w:val="11"/>
                <w:szCs w:val="11"/>
                <w:color w:val="auto"/>
              </w:rPr>
              <w:t>(First)</w:t>
            </w:r>
          </w:p>
        </w:tc>
        <w:tc>
          <w:tcPr>
            <w:tcW w:w="1640" w:type="dxa"/>
            <w:vAlign w:val="bottom"/>
            <w:gridSpan w:val="2"/>
            <w:vMerge w:val="restart"/>
          </w:tcPr>
          <w:p>
            <w:pPr>
              <w:ind w:left="440"/>
              <w:spacing w:after="0" w:line="102" w:lineRule="exact"/>
              <w:rPr>
                <w:sz w:val="20"/>
                <w:szCs w:val="20"/>
                <w:color w:val="auto"/>
              </w:rPr>
            </w:pPr>
            <w:r>
              <w:rPr>
                <w:rFonts w:ascii="Arial" w:cs="Arial" w:eastAsia="Arial" w:hAnsi="Arial"/>
                <w:sz w:val="11"/>
                <w:szCs w:val="11"/>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00"/>
              <w:spacing w:after="0"/>
              <w:rPr>
                <w:sz w:val="20"/>
                <w:szCs w:val="20"/>
                <w:color w:val="auto"/>
              </w:rPr>
            </w:pPr>
            <w:r>
              <w:rPr>
                <w:rFonts w:ascii="Arial" w:cs="Arial" w:eastAsia="Arial" w:hAnsi="Arial"/>
                <w:sz w:val="17"/>
                <w:szCs w:val="17"/>
                <w:color w:val="0000FF"/>
              </w:rPr>
              <w:t>EVP &amp; General Counsel</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WHITE MOUNTAINS INSURANCE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1320" w:type="dxa"/>
            <w:vAlign w:val="bottom"/>
            <w:gridSpan w:val="3"/>
            <w:vMerge w:val="restart"/>
          </w:tcPr>
          <w:p>
            <w:pPr>
              <w:ind w:left="160"/>
              <w:spacing w:after="0"/>
              <w:rPr>
                <w:sz w:val="20"/>
                <w:szCs w:val="20"/>
                <w:color w:val="auto"/>
              </w:rPr>
            </w:pPr>
            <w:r>
              <w:rPr>
                <w:rFonts w:ascii="Arial" w:cs="Arial" w:eastAsia="Arial" w:hAnsi="Arial"/>
                <w:sz w:val="17"/>
                <w:szCs w:val="17"/>
                <w:color w:val="0000FF"/>
              </w:rPr>
              <w:t>02/25/2022</w:t>
            </w: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GROUP, LTD</w:t>
            </w: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23 SOUTH MAIN STREET, SUITE 3B</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36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25" w:right="359" w:bottom="1440" w:gutter="0" w:footer="0" w:header="0"/>
          <w:type w:val="continuous"/>
        </w:sectPr>
      </w:pP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HANOVER</w:t>
            </w:r>
          </w:p>
        </w:tc>
        <w:tc>
          <w:tcPr>
            <w:tcW w:w="1000" w:type="dxa"/>
            <w:vAlign w:val="bottom"/>
          </w:tcPr>
          <w:p>
            <w:pPr>
              <w:ind w:left="180"/>
              <w:spacing w:after="0"/>
              <w:rPr>
                <w:sz w:val="20"/>
                <w:szCs w:val="20"/>
                <w:color w:val="auto"/>
              </w:rPr>
            </w:pPr>
            <w:r>
              <w:rPr>
                <w:rFonts w:ascii="Arial" w:cs="Arial" w:eastAsia="Arial" w:hAnsi="Arial"/>
                <w:sz w:val="17"/>
                <w:szCs w:val="17"/>
                <w:color w:val="0000FF"/>
              </w:rPr>
              <w:t>NH</w:t>
            </w:r>
          </w:p>
        </w:tc>
        <w:tc>
          <w:tcPr>
            <w:tcW w:w="1600" w:type="dxa"/>
            <w:vAlign w:val="bottom"/>
          </w:tcPr>
          <w:p>
            <w:pPr>
              <w:ind w:left="40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327" w:hanging="327"/>
        <w:spacing w:after="0"/>
        <w:tabs>
          <w:tab w:leader="none" w:pos="327"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9" w:lineRule="exact"/>
        <w:rPr>
          <w:rFonts w:ascii="Arial" w:cs="Arial" w:eastAsia="Arial" w:hAnsi="Arial"/>
          <w:sz w:val="17"/>
          <w:szCs w:val="17"/>
          <w:color w:val="0000FF"/>
        </w:rPr>
      </w:pPr>
    </w:p>
    <w:p>
      <w:pPr>
        <w:ind w:left="327" w:right="500"/>
        <w:spacing w:after="0" w:line="253"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479" w:lineRule="exact"/>
        <w:rPr>
          <w:sz w:val="20"/>
          <w:szCs w:val="20"/>
          <w:color w:val="auto"/>
        </w:rPr>
      </w:pPr>
    </w:p>
    <w:p>
      <w:pPr>
        <w:sectPr>
          <w:pgSz w:w="11900" w:h="16838" w:orient="portrait"/>
          <w:cols w:equalWidth="0" w:num="2">
            <w:col w:w="7213" w:space="720"/>
            <w:col w:w="3147"/>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080" w:type="dxa"/>
            <w:vAlign w:val="bottom"/>
            <w:gridSpan w:val="10"/>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02/25/2022</w:t>
            </w:r>
          </w:p>
        </w:tc>
        <w:tc>
          <w:tcPr>
            <w:tcW w:w="4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1,250</w:t>
            </w:r>
            <w:r>
              <w:rPr>
                <w:rFonts w:ascii="Arial" w:cs="Arial" w:eastAsia="Arial" w:hAnsi="Arial"/>
                <w:sz w:val="22"/>
                <w:szCs w:val="22"/>
                <w:color w:val="008000"/>
                <w:vertAlign w:val="superscript"/>
              </w:rPr>
              <w:t>(1)</w:t>
            </w:r>
          </w:p>
        </w:tc>
        <w:tc>
          <w:tcPr>
            <w:tcW w:w="46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89"/>
              </w:rPr>
              <w:t>3,150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02/25/2022</w:t>
            </w:r>
          </w:p>
        </w:tc>
        <w:tc>
          <w:tcPr>
            <w:tcW w:w="4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0000FF"/>
              </w:rPr>
              <w:t>750</w:t>
            </w:r>
            <w:r>
              <w:rPr>
                <w:rFonts w:ascii="Arial" w:cs="Arial" w:eastAsia="Arial" w:hAnsi="Arial"/>
                <w:sz w:val="22"/>
                <w:szCs w:val="22"/>
                <w:color w:val="008000"/>
                <w:vertAlign w:val="superscript"/>
              </w:rPr>
              <w:t>(2)</w:t>
            </w:r>
          </w:p>
        </w:tc>
        <w:tc>
          <w:tcPr>
            <w:tcW w:w="46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2"/>
              </w:rPr>
              <w:t>15,434</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vMerge w:val="restart"/>
          </w:tcPr>
          <w:p>
            <w:pPr>
              <w:jc w:val="center"/>
              <w:ind w:right="35"/>
              <w:spacing w:after="0"/>
              <w:rPr>
                <w:sz w:val="20"/>
                <w:szCs w:val="20"/>
                <w:color w:val="auto"/>
              </w:rPr>
            </w:pPr>
            <w:r>
              <w:rPr>
                <w:rFonts w:ascii="Arial" w:cs="Arial" w:eastAsia="Arial" w:hAnsi="Arial"/>
                <w:sz w:val="17"/>
                <w:szCs w:val="17"/>
                <w:color w:val="0000FF"/>
                <w:w w:val="84"/>
              </w:rPr>
              <w:t>5</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and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dependent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gridSpan w:val="3"/>
          </w:tcPr>
          <w:p>
            <w:pPr>
              <w:jc w:val="center"/>
              <w:ind w:left="429"/>
              <w:spacing w:after="0"/>
              <w:rPr>
                <w:sz w:val="20"/>
                <w:szCs w:val="20"/>
                <w:color w:val="auto"/>
              </w:rPr>
            </w:pPr>
            <w:r>
              <w:rPr>
                <w:rFonts w:ascii="Arial" w:cs="Arial" w:eastAsia="Arial" w:hAnsi="Arial"/>
                <w:sz w:val="17"/>
                <w:szCs w:val="17"/>
                <w:color w:val="0000FF"/>
                <w:w w:val="91"/>
              </w:rPr>
              <w:t>569</w:t>
            </w: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 401(k)</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5040" w:type="dxa"/>
            <w:vAlign w:val="bottom"/>
            <w:tcBorders>
              <w:bottom w:val="single" w:sz="8" w:color="2C2C2C"/>
            </w:tcBorders>
            <w:gridSpan w:val="7"/>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gridSpan w:val="2"/>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3"/>
          </w:tcPr>
          <w:p>
            <w:pPr>
              <w:ind w:left="10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6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20" w:type="dxa"/>
            <w:vAlign w:val="bottom"/>
            <w:gridSpan w:val="14"/>
          </w:tcPr>
          <w:p>
            <w:pPr>
              <w:ind w:left="20"/>
              <w:spacing w:after="0"/>
              <w:rPr>
                <w:sz w:val="20"/>
                <w:szCs w:val="20"/>
                <w:color w:val="auto"/>
              </w:rPr>
            </w:pPr>
            <w:r>
              <w:rPr>
                <w:rFonts w:ascii="Arial" w:cs="Arial" w:eastAsia="Arial" w:hAnsi="Arial"/>
                <w:sz w:val="13"/>
                <w:szCs w:val="13"/>
                <w:color w:val="008000"/>
                <w:w w:val="97"/>
              </w:rPr>
              <w:t>1. On February 25 2022, the Reporting Person received a restricted share award of 1,250 Common Shares, which vests on January 1, 2025.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40" w:type="dxa"/>
            <w:vAlign w:val="bottom"/>
            <w:gridSpan w:val="8"/>
          </w:tcPr>
          <w:p>
            <w:pPr>
              <w:ind w:left="20"/>
              <w:spacing w:after="0"/>
              <w:rPr>
                <w:sz w:val="20"/>
                <w:szCs w:val="20"/>
                <w:color w:val="auto"/>
              </w:rPr>
            </w:pPr>
            <w:r>
              <w:rPr>
                <w:rFonts w:ascii="Arial" w:cs="Arial" w:eastAsia="Arial" w:hAnsi="Arial"/>
                <w:sz w:val="13"/>
                <w:szCs w:val="13"/>
                <w:color w:val="008000"/>
                <w:w w:val="98"/>
              </w:rPr>
              <w:t>2. Shares issued by the Company to the Reporting Person in partial settlement of performance share award.</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80" w:type="dxa"/>
            <w:vAlign w:val="bottom"/>
            <w:tcBorders>
              <w:bottom w:val="single" w:sz="8" w:color="auto"/>
            </w:tcBorders>
            <w:gridSpan w:val="7"/>
          </w:tcPr>
          <w:p>
            <w:pPr>
              <w:spacing w:after="0"/>
              <w:rPr>
                <w:sz w:val="20"/>
                <w:szCs w:val="20"/>
                <w:color w:val="auto"/>
              </w:rPr>
            </w:pPr>
            <w:r>
              <w:rPr>
                <w:rFonts w:ascii="Arial" w:cs="Arial" w:eastAsia="Arial" w:hAnsi="Arial"/>
                <w:sz w:val="17"/>
                <w:szCs w:val="17"/>
                <w:color w:val="0000FF"/>
                <w:w w:val="93"/>
              </w:rPr>
              <w:t>Wesley C. Bell, by Power of</w:t>
            </w:r>
          </w:p>
        </w:tc>
        <w:tc>
          <w:tcPr>
            <w:tcW w:w="1020" w:type="dxa"/>
            <w:vAlign w:val="bottom"/>
            <w:gridSpan w:val="3"/>
            <w:vMerge w:val="restart"/>
          </w:tcPr>
          <w:p>
            <w:pPr>
              <w:ind w:left="220"/>
              <w:spacing w:after="0"/>
              <w:rPr>
                <w:sz w:val="20"/>
                <w:szCs w:val="20"/>
                <w:color w:val="auto"/>
              </w:rPr>
            </w:pPr>
            <w:r>
              <w:rPr>
                <w:rFonts w:ascii="Arial" w:cs="Arial" w:eastAsia="Arial" w:hAnsi="Arial"/>
                <w:sz w:val="17"/>
                <w:szCs w:val="17"/>
                <w:color w:val="0000FF"/>
                <w:w w:val="91"/>
              </w:rPr>
              <w:t>02/28/2022</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80" w:type="dxa"/>
            <w:vAlign w:val="bottom"/>
            <w:gridSpan w:val="7"/>
          </w:tcPr>
          <w:p>
            <w:pPr>
              <w:spacing w:after="0"/>
              <w:rPr>
                <w:sz w:val="20"/>
                <w:szCs w:val="20"/>
                <w:color w:val="auto"/>
              </w:rPr>
            </w:pPr>
            <w:r>
              <w:rPr>
                <w:rFonts w:ascii="Arial" w:cs="Arial" w:eastAsia="Arial" w:hAnsi="Arial"/>
                <w:sz w:val="13"/>
                <w:szCs w:val="13"/>
                <w:color w:val="auto"/>
              </w:rPr>
              <w:t>** Signature of Reporting Person</w:t>
            </w:r>
          </w:p>
        </w:tc>
        <w:tc>
          <w:tcPr>
            <w:tcW w:w="680" w:type="dxa"/>
            <w:vAlign w:val="bottom"/>
            <w:gridSpan w:val="2"/>
          </w:tcPr>
          <w:p>
            <w:pPr>
              <w:ind w:left="220"/>
              <w:spacing w:after="0"/>
              <w:rPr>
                <w:sz w:val="20"/>
                <w:szCs w:val="20"/>
                <w:color w:val="auto"/>
              </w:rPr>
            </w:pPr>
            <w:r>
              <w:rPr>
                <w:rFonts w:ascii="Arial" w:cs="Arial" w:eastAsia="Arial" w:hAnsi="Arial"/>
                <w:sz w:val="13"/>
                <w:szCs w:val="13"/>
                <w:color w:val="auto"/>
              </w:rPr>
              <w:t>Date</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40" w:type="dxa"/>
            <w:vAlign w:val="bottom"/>
            <w:gridSpan w:val="8"/>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60" w:type="dxa"/>
            <w:vAlign w:val="bottom"/>
            <w:gridSpan w:val="6"/>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-2880360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4279"/>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&amp; General Counsel, Jennifer L. Moyer, Managing Director &amp; Corporate</w:t>
      </w:r>
    </w:p>
    <w:p>
      <w:pPr>
        <w:spacing w:after="0"/>
        <w:rPr>
          <w:sz w:val="20"/>
          <w:szCs w:val="20"/>
          <w:color w:val="auto"/>
        </w:rPr>
      </w:pPr>
      <w:r>
        <w:rPr>
          <w:rFonts w:ascii="Courier New" w:cs="Courier New" w:eastAsia="Courier New" w:hAnsi="Courier New"/>
          <w:sz w:val="17"/>
          <w:szCs w:val="17"/>
          <w:color w:val="auto"/>
        </w:rPr>
        <w:t>Secretary, Jason R. Lichtenstein, Managing 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&amp; Associate General Counsel, and Wesley Bell,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&amp; Assistant General Counsel,signing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singly, the undersigned's true and lawful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attorney-in-fact to:</w:t>
      </w:r>
    </w:p>
    <w:p>
      <w:pPr>
        <w:spacing w:after="0" w:line="7" w:lineRule="exact"/>
        <w:rPr>
          <w:sz w:val="20"/>
          <w:szCs w:val="20"/>
          <w:color w:val="auto"/>
        </w:rPr>
      </w:pPr>
    </w:p>
    <w:p>
      <w:pPr>
        <w:ind w:right="3659" w:firstLine="7"/>
        <w:spacing w:after="0" w:line="249"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249"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left="420" w:hanging="413"/>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7" w:lineRule="exact"/>
        <w:rPr>
          <w:rFonts w:ascii="Courier New" w:cs="Courier New" w:eastAsia="Courier New" w:hAnsi="Courier New"/>
          <w:sz w:val="17"/>
          <w:szCs w:val="17"/>
          <w:color w:val="auto"/>
        </w:rPr>
      </w:pPr>
    </w:p>
    <w:p>
      <w:pPr>
        <w:ind w:right="31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1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3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0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w:t>
      </w:r>
    </w:p>
    <w:p>
      <w:pPr>
        <w:spacing w:after="0" w:line="7" w:lineRule="exact"/>
        <w:rPr>
          <w:rFonts w:ascii="Courier New" w:cs="Courier New" w:eastAsia="Courier New" w:hAnsi="Courier New"/>
          <w:sz w:val="17"/>
          <w:szCs w:val="17"/>
          <w:color w:val="auto"/>
        </w:rPr>
      </w:pPr>
    </w:p>
    <w:p>
      <w:pPr>
        <w:ind w:right="405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Power of Attorney to be executed as of the date indicated below.</w:t>
      </w:r>
    </w:p>
    <w:p>
      <w:pPr>
        <w:spacing w:after="0" w:line="197" w:lineRule="exact"/>
        <w:rPr>
          <w:sz w:val="20"/>
          <w:szCs w:val="20"/>
          <w:color w:val="auto"/>
        </w:rPr>
      </w:pPr>
    </w:p>
    <w:p>
      <w:pPr>
        <w:spacing w:after="0"/>
        <w:tabs>
          <w:tab w:leader="none" w:pos="2380" w:val="left"/>
          <w:tab w:leader="none" w:pos="2900" w:val="left"/>
        </w:tabs>
        <w:rPr>
          <w:sz w:val="20"/>
          <w:szCs w:val="20"/>
          <w:color w:val="auto"/>
        </w:rPr>
      </w:pPr>
      <w:r>
        <w:rPr>
          <w:rFonts w:ascii="Courier New" w:cs="Courier New" w:eastAsia="Courier New" w:hAnsi="Courier New"/>
          <w:sz w:val="17"/>
          <w:szCs w:val="17"/>
          <w:color w:val="auto"/>
        </w:rPr>
        <w:t>Date: May 24, 2018</w:t>
      </w:r>
      <w:r>
        <w:rPr>
          <w:sz w:val="20"/>
          <w:szCs w:val="20"/>
          <w:color w:val="auto"/>
        </w:rPr>
        <w:tab/>
      </w:r>
      <w:r>
        <w:rPr>
          <w:rFonts w:ascii="Courier New" w:cs="Courier New" w:eastAsia="Courier New" w:hAnsi="Courier New"/>
          <w:sz w:val="17"/>
          <w:szCs w:val="17"/>
          <w:color w:val="auto"/>
        </w:rPr>
        <w:t>/s/</w:t>
        <w:tab/>
        <w:t>Robert L. Seelig</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2022-02-28T12:39:04Z</dcterms:created>
  <dcterms:modified xsi:type="dcterms:W3CDTF">2022-02-28T12:39:04Z</dcterms:modified>
</cp:coreProperties>
</file>