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325995" cy="7187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7187565"/>
                    </a:xfrm>
                    <a:prstGeom prst="rect">
                      <a:avLst/>
                    </a:prstGeom>
                    <a:noFill/>
                  </pic:spPr>
                </pic:pic>
              </a:graphicData>
            </a:graphic>
          </wp:anchor>
        </w:drawing>
      </w:r>
    </w:p>
    <w:p>
      <w:pPr>
        <w:spacing w:after="0" w:line="94" w:lineRule="exact"/>
        <w:rPr>
          <w:sz w:val="24"/>
          <w:szCs w:val="24"/>
          <w:color w:val="auto"/>
        </w:rPr>
      </w:pPr>
    </w:p>
    <w:p>
      <w:pPr>
        <w:sectPr>
          <w:pgSz w:w="11900" w:h="16995" w:orient="portrait"/>
          <w:cols w:equalWidth="0" w:num="2">
            <w:col w:w="2260" w:space="500"/>
            <w:col w:w="8760"/>
          </w:cols>
          <w:pgMar w:left="240" w:top="222" w:right="13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BARRETTE RAYMOND JOSEPH RENE</w:t>
        </w:r>
      </w:hyperlink>
    </w:p>
    <w:p>
      <w:pPr>
        <w:spacing w:after="0" w:line="327"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40"/>
        <w:spacing w:after="0" w:line="340" w:lineRule="auto"/>
        <w:rPr>
          <w:sz w:val="20"/>
          <w:szCs w:val="20"/>
          <w:color w:val="auto"/>
        </w:rPr>
      </w:pPr>
      <w:r>
        <w:rPr>
          <w:rFonts w:ascii="Arial" w:cs="Arial" w:eastAsia="Arial" w:hAnsi="Arial"/>
          <w:sz w:val="17"/>
          <w:szCs w:val="17"/>
          <w:color w:val="0000FF"/>
        </w:rPr>
        <w:t>C/O WHITE MOUNTAINS INSURANCE GROUP 80 SOUTH MAIN STREET</w:t>
      </w:r>
    </w:p>
    <w:p>
      <w:pPr>
        <w:spacing w:after="0" w:line="19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7"/>
          <w:szCs w:val="17"/>
          <w:color w:val="0000FF"/>
        </w:rPr>
        <w:t>HANOVER</w:t>
      </w:r>
      <w:r>
        <w:rPr>
          <w:sz w:val="20"/>
          <w:szCs w:val="20"/>
          <w:color w:val="auto"/>
        </w:rPr>
        <w:tab/>
      </w:r>
      <w:r>
        <w:rPr>
          <w:rFonts w:ascii="Arial" w:cs="Arial" w:eastAsia="Arial" w:hAnsi="Arial"/>
          <w:sz w:val="17"/>
          <w:szCs w:val="17"/>
          <w:color w:val="0000FF"/>
        </w:rPr>
        <w:t>NH</w:t>
      </w:r>
      <w:r>
        <w:rPr>
          <w:sz w:val="20"/>
          <w:szCs w:val="20"/>
          <w:color w:val="auto"/>
        </w:rPr>
        <w:tab/>
      </w:r>
      <w:r>
        <w:rPr>
          <w:rFonts w:ascii="Arial" w:cs="Arial" w:eastAsia="Arial" w:hAnsi="Arial"/>
          <w:sz w:val="15"/>
          <w:szCs w:val="15"/>
          <w:color w:val="0000FF"/>
        </w:rPr>
        <w:t>03755</w:t>
      </w:r>
    </w:p>
    <w:p>
      <w:pPr>
        <w:spacing w:after="0" w:line="33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980" w:type="dxa"/>
            <w:vAlign w:val="bottom"/>
            <w:gridSpan w:val="4"/>
          </w:tcPr>
          <w:p>
            <w:pPr>
              <w:ind w:left="60"/>
              <w:spacing w:after="0" w:line="138" w:lineRule="exact"/>
              <w:rPr>
                <w:rFonts w:ascii="Arial" w:cs="Arial" w:eastAsia="Arial" w:hAnsi="Arial"/>
                <w:sz w:val="14"/>
                <w:szCs w:val="14"/>
                <w:color w:val="0000EE"/>
              </w:rPr>
            </w:pPr>
            <w:hyperlink r:id="rId13">
              <w:r>
                <w:rPr>
                  <w:rFonts w:ascii="Arial" w:cs="Arial" w:eastAsia="Arial" w:hAnsi="Arial"/>
                  <w:sz w:val="14"/>
                  <w:szCs w:val="14"/>
                  <w:color w:val="0000EE"/>
                </w:rPr>
                <w:t>WHITE MOUNTAINS INSURANCE</w:t>
              </w:r>
            </w:hyperlink>
          </w:p>
        </w:tc>
        <w:tc>
          <w:tcPr>
            <w:tcW w:w="17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420" w:type="dxa"/>
            <w:vAlign w:val="bottom"/>
          </w:tcPr>
          <w:p>
            <w:pPr>
              <w:spacing w:after="0"/>
              <w:rPr>
                <w:sz w:val="3"/>
                <w:szCs w:val="3"/>
                <w:color w:val="auto"/>
              </w:rPr>
            </w:pPr>
          </w:p>
        </w:tc>
        <w:tc>
          <w:tcPr>
            <w:tcW w:w="1300" w:type="dxa"/>
            <w:vAlign w:val="bottom"/>
            <w:vMerge w:val="restart"/>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3980" w:type="dxa"/>
            <w:vAlign w:val="bottom"/>
            <w:gridSpan w:val="4"/>
            <w:vMerge w:val="restart"/>
          </w:tcPr>
          <w:p>
            <w:pPr>
              <w:ind w:left="60"/>
              <w:spacing w:after="0" w:line="213"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22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420" w:type="dxa"/>
            <w:vAlign w:val="bottom"/>
          </w:tcPr>
          <w:p>
            <w:pPr>
              <w:spacing w:after="0"/>
              <w:rPr>
                <w:sz w:val="5"/>
                <w:szCs w:val="5"/>
                <w:color w:val="auto"/>
              </w:rPr>
            </w:pPr>
          </w:p>
        </w:tc>
        <w:tc>
          <w:tcPr>
            <w:tcW w:w="1300" w:type="dxa"/>
            <w:vAlign w:val="bottom"/>
            <w:vMerge w:val="restart"/>
          </w:tcPr>
          <w:p>
            <w:pPr>
              <w:ind w:left="1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140" w:type="dxa"/>
            <w:vAlign w:val="bottom"/>
            <w:tcBorders>
              <w:top w:val="single" w:sz="8" w:color="0000EE"/>
            </w:tcBorders>
          </w:tcPr>
          <w:p>
            <w:pPr>
              <w:spacing w:after="0"/>
              <w:rPr>
                <w:sz w:val="11"/>
                <w:szCs w:val="11"/>
                <w:color w:val="auto"/>
              </w:rPr>
            </w:pPr>
          </w:p>
        </w:tc>
        <w:tc>
          <w:tcPr>
            <w:tcW w:w="2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1"/>
                <w:szCs w:val="11"/>
                <w:color w:val="auto"/>
              </w:rPr>
            </w:pP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X</w:t>
            </w: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420" w:type="dxa"/>
            <w:vAlign w:val="bottom"/>
            <w:vMerge w:val="continue"/>
          </w:tcPr>
          <w:p>
            <w:pPr>
              <w:spacing w:after="0"/>
              <w:rPr>
                <w:sz w:val="8"/>
                <w:szCs w:val="8"/>
                <w:color w:val="auto"/>
              </w:rPr>
            </w:pPr>
          </w:p>
        </w:tc>
        <w:tc>
          <w:tcPr>
            <w:tcW w:w="13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6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0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44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Chief Executive Officer </w:t>
            </w:r>
            <w:r>
              <w:rPr>
                <w:rFonts w:ascii="Arial" w:cs="Arial" w:eastAsia="Arial" w:hAnsi="Arial"/>
                <w:sz w:val="20"/>
                <w:szCs w:val="20"/>
                <w:color w:val="000000"/>
              </w:rPr>
              <w:t>/</w:t>
            </w:r>
            <w:r>
              <w:rPr>
                <w:rFonts w:ascii="Arial" w:cs="Arial" w:eastAsia="Arial" w:hAnsi="Arial"/>
                <w:sz w:val="17"/>
                <w:szCs w:val="17"/>
                <w:color w:val="0000FF"/>
              </w:rPr>
              <w:t xml:space="preserve"> Chairman of the</w:t>
            </w:r>
          </w:p>
        </w:tc>
        <w:tc>
          <w:tcPr>
            <w:tcW w:w="0" w:type="dxa"/>
            <w:vAlign w:val="bottom"/>
          </w:tcPr>
          <w:p>
            <w:pPr>
              <w:spacing w:after="0"/>
              <w:rPr>
                <w:sz w:val="1"/>
                <w:szCs w:val="1"/>
                <w:color w:val="auto"/>
              </w:rPr>
            </w:pPr>
          </w:p>
        </w:tc>
      </w:tr>
      <w:tr>
        <w:trPr>
          <w:trHeight w:val="95"/>
        </w:trPr>
        <w:tc>
          <w:tcPr>
            <w:tcW w:w="3980" w:type="dxa"/>
            <w:vAlign w:val="bottom"/>
            <w:gridSpan w:val="4"/>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3980" w:type="dxa"/>
            <w:vAlign w:val="bottom"/>
            <w:gridSpan w:val="4"/>
            <w:vMerge w:val="continue"/>
          </w:tcPr>
          <w:p>
            <w:pPr>
              <w:spacing w:after="0"/>
              <w:rPr>
                <w:sz w:val="7"/>
                <w:szCs w:val="7"/>
                <w:color w:val="auto"/>
              </w:rPr>
            </w:pPr>
          </w:p>
        </w:tc>
        <w:tc>
          <w:tcPr>
            <w:tcW w:w="500" w:type="dxa"/>
            <w:vAlign w:val="bottom"/>
          </w:tcPr>
          <w:p>
            <w:pPr>
              <w:spacing w:after="0"/>
              <w:rPr>
                <w:sz w:val="7"/>
                <w:szCs w:val="7"/>
                <w:color w:val="auto"/>
              </w:rPr>
            </w:pPr>
          </w:p>
        </w:tc>
        <w:tc>
          <w:tcPr>
            <w:tcW w:w="1640" w:type="dxa"/>
            <w:vAlign w:val="bottom"/>
            <w:gridSpan w:val="2"/>
            <w:vMerge w:val="restart"/>
          </w:tcPr>
          <w:p>
            <w:pPr>
              <w:ind w:left="1020"/>
              <w:spacing w:after="0"/>
              <w:rPr>
                <w:sz w:val="20"/>
                <w:szCs w:val="20"/>
                <w:color w:val="auto"/>
              </w:rPr>
            </w:pPr>
            <w:r>
              <w:rPr>
                <w:rFonts w:ascii="Arial" w:cs="Arial" w:eastAsia="Arial" w:hAnsi="Arial"/>
                <w:sz w:val="17"/>
                <w:szCs w:val="17"/>
                <w:color w:val="0000FF"/>
              </w:rPr>
              <w:t>Board</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200" w:type="dxa"/>
            <w:vAlign w:val="bottom"/>
            <w:gridSpan w:val="2"/>
            <w:vMerge w:val="restart"/>
          </w:tcPr>
          <w:p>
            <w:pPr>
              <w:ind w:left="60"/>
              <w:spacing w:after="0"/>
              <w:rPr>
                <w:sz w:val="20"/>
                <w:szCs w:val="20"/>
                <w:color w:val="auto"/>
              </w:rPr>
            </w:pPr>
            <w:r>
              <w:rPr>
                <w:rFonts w:ascii="Arial" w:cs="Arial" w:eastAsia="Arial" w:hAnsi="Arial"/>
                <w:sz w:val="17"/>
                <w:szCs w:val="17"/>
                <w:color w:val="0000FF"/>
              </w:rPr>
              <w:t>05/26/2010</w:t>
            </w:r>
          </w:p>
        </w:tc>
        <w:tc>
          <w:tcPr>
            <w:tcW w:w="2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200" w:type="dxa"/>
            <w:vAlign w:val="bottom"/>
            <w:gridSpan w:val="2"/>
            <w:vMerge w:val="continue"/>
          </w:tcPr>
          <w:p>
            <w:pPr>
              <w:spacing w:after="0"/>
              <w:rPr>
                <w:sz w:val="7"/>
                <w:szCs w:val="7"/>
                <w:color w:val="auto"/>
              </w:rPr>
            </w:pPr>
          </w:p>
        </w:tc>
        <w:tc>
          <w:tcPr>
            <w:tcW w:w="2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5"/>
        </w:trPr>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40" w:type="dxa"/>
            <w:vAlign w:val="bottom"/>
            <w:gridSpan w:val="4"/>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gridSpan w:val="3"/>
          </w:tcPr>
          <w:p>
            <w:pPr>
              <w:ind w:left="1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bl>
    <w:p>
      <w:pPr>
        <w:spacing w:after="0" w:line="319" w:lineRule="exact"/>
        <w:rPr>
          <w:sz w:val="20"/>
          <w:szCs w:val="20"/>
          <w:color w:val="auto"/>
        </w:rPr>
      </w:pPr>
    </w:p>
    <w:p>
      <w:pPr>
        <w:sectPr>
          <w:pgSz w:w="11900" w:h="16995" w:orient="portrait"/>
          <w:cols w:equalWidth="0" w:num="2">
            <w:col w:w="3680" w:space="320"/>
            <w:col w:w="7520"/>
          </w:cols>
          <w:pgMar w:left="240" w:top="222"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9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940" w:type="dxa"/>
            <w:vAlign w:val="bottom"/>
            <w:gridSpan w:val="2"/>
          </w:tcPr>
          <w:p>
            <w:pPr>
              <w:ind w:left="960"/>
              <w:spacing w:after="0" w:line="126"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6"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4"/>
          </w:tcPr>
          <w:p>
            <w:pPr>
              <w:jc w:val="center"/>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7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0"/>
                <w:szCs w:val="10"/>
                <w:color w:val="auto"/>
              </w:rPr>
            </w:pPr>
          </w:p>
        </w:tc>
        <w:tc>
          <w:tcPr>
            <w:tcW w:w="9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gridSpan w:val="2"/>
          </w:tcPr>
          <w:p>
            <w:pPr>
              <w:ind w:left="9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5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6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8"/>
              </w:rPr>
              <w:t>33,518</w:t>
            </w:r>
          </w:p>
        </w:tc>
        <w:tc>
          <w:tcPr>
            <w:tcW w:w="32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0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29,000</w:t>
            </w:r>
            <w:r>
              <w:rPr>
                <w:rFonts w:ascii="Arial" w:cs="Arial" w:eastAsia="Arial" w:hAnsi="Arial"/>
                <w:sz w:val="21"/>
                <w:szCs w:val="21"/>
                <w:color w:val="008000"/>
                <w:w w:val="83"/>
                <w:vertAlign w:val="superscript"/>
              </w:rPr>
              <w:t>(1)</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8"/>
              </w:rPr>
              <w:t>24,768</w:t>
            </w:r>
          </w:p>
        </w:tc>
        <w:tc>
          <w:tcPr>
            <w:tcW w:w="320" w:type="dxa"/>
            <w:vAlign w:val="bottom"/>
          </w:tcPr>
          <w:p>
            <w:pPr>
              <w:spacing w:after="0"/>
              <w:rPr>
                <w:sz w:val="17"/>
                <w:szCs w:val="17"/>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8"/>
              </w:rPr>
              <w:t>11,615</w:t>
            </w:r>
          </w:p>
        </w:tc>
        <w:tc>
          <w:tcPr>
            <w:tcW w:w="32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vMerge w:val="restart"/>
          </w:tcPr>
          <w:p>
            <w:pPr>
              <w:jc w:val="center"/>
              <w:ind w:left="414"/>
              <w:spacing w:after="0"/>
              <w:rPr>
                <w:sz w:val="20"/>
                <w:szCs w:val="20"/>
                <w:color w:val="auto"/>
              </w:rPr>
            </w:pPr>
            <w:r>
              <w:rPr>
                <w:rFonts w:ascii="Arial" w:cs="Arial" w:eastAsia="Arial" w:hAnsi="Arial"/>
                <w:sz w:val="17"/>
                <w:szCs w:val="17"/>
                <w:color w:val="0000FF"/>
                <w:w w:val="91"/>
              </w:rPr>
              <w:t>775</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daughter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jc w:val="center"/>
              <w:ind w:left="414"/>
              <w:spacing w:after="0"/>
              <w:rPr>
                <w:sz w:val="20"/>
                <w:szCs w:val="20"/>
                <w:color w:val="auto"/>
              </w:rPr>
            </w:pPr>
            <w:r>
              <w:rPr>
                <w:rFonts w:ascii="Arial" w:cs="Arial" w:eastAsia="Arial" w:hAnsi="Arial"/>
                <w:sz w:val="17"/>
                <w:szCs w:val="17"/>
                <w:color w:val="0000FF"/>
                <w:w w:val="91"/>
              </w:rPr>
              <w:t>300</w:t>
            </w: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9"/>
              </w:rPr>
              <w:t>4,230</w:t>
            </w:r>
          </w:p>
        </w:tc>
        <w:tc>
          <w:tcPr>
            <w:tcW w:w="32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33"/>
                <w:szCs w:val="33"/>
                <w:color w:val="0000FF"/>
                <w:w w:val="75"/>
                <w:vertAlign w:val="subscript"/>
              </w:rPr>
              <w:t>205</w:t>
            </w:r>
            <w:r>
              <w:rPr>
                <w:rFonts w:ascii="Arial" w:cs="Arial" w:eastAsia="Arial" w:hAnsi="Arial"/>
                <w:sz w:val="11"/>
                <w:szCs w:val="11"/>
                <w:color w:val="008000"/>
                <w:w w:val="75"/>
              </w:rPr>
              <w:t>(2)</w:t>
            </w:r>
          </w:p>
        </w:tc>
        <w:tc>
          <w:tcPr>
            <w:tcW w:w="32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840" w:type="dxa"/>
            <w:vAlign w:val="bottom"/>
            <w:tcBorders>
              <w:bottom w:val="single" w:sz="8" w:color="2C2C2C"/>
            </w:tcBorders>
            <w:gridSpan w:val="8"/>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600" w:type="dxa"/>
            <w:vAlign w:val="bottom"/>
            <w:tcBorders>
              <w:top w:val="single" w:sz="8" w:color="2C2C2C"/>
            </w:tcBorders>
            <w:gridSpan w:val="10"/>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60" w:type="dxa"/>
            <w:vAlign w:val="bottom"/>
            <w:gridSpan w:val="9"/>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560" w:type="dxa"/>
            <w:vAlign w:val="bottom"/>
          </w:tcPr>
          <w:p>
            <w:pPr>
              <w:spacing w:after="0"/>
              <w:rPr>
                <w:sz w:val="11"/>
                <w:szCs w:val="11"/>
                <w:color w:val="auto"/>
              </w:rPr>
            </w:pPr>
          </w:p>
        </w:tc>
        <w:tc>
          <w:tcPr>
            <w:tcW w:w="14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14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Disposed of (D)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4 and 5)</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restart"/>
          </w:tcPr>
          <w:p>
            <w:pPr>
              <w:jc w:val="center"/>
              <w:ind w:right="10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650</w:t>
            </w:r>
            <w:r>
              <w:rPr>
                <w:rFonts w:ascii="Arial" w:cs="Arial" w:eastAsia="Arial" w:hAnsi="Arial"/>
                <w:sz w:val="21"/>
                <w:szCs w:val="21"/>
                <w:color w:val="008000"/>
                <w:vertAlign w:val="superscript"/>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(4)</w:t>
            </w: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200,000</w:t>
            </w:r>
          </w:p>
        </w:tc>
        <w:tc>
          <w:tcPr>
            <w:tcW w:w="20" w:type="dxa"/>
            <w:vAlign w:val="bottom"/>
          </w:tcPr>
          <w:p>
            <w:pPr>
              <w:spacing w:after="0"/>
              <w:rPr>
                <w:sz w:val="16"/>
                <w:szCs w:val="16"/>
                <w:color w:val="auto"/>
              </w:rPr>
            </w:pP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6" w:lineRule="exact"/>
              <w:rPr>
                <w:sz w:val="20"/>
                <w:szCs w:val="20"/>
                <w:color w:val="auto"/>
              </w:rPr>
            </w:pPr>
            <w:r>
              <w:rPr>
                <w:rFonts w:ascii="Arial" w:cs="Arial" w:eastAsia="Arial" w:hAnsi="Arial"/>
                <w:sz w:val="13"/>
                <w:szCs w:val="13"/>
                <w:color w:val="0000FF"/>
              </w:rPr>
              <w:t>Share</w:t>
            </w:r>
          </w:p>
        </w:tc>
        <w:tc>
          <w:tcPr>
            <w:tcW w:w="780" w:type="dxa"/>
            <w:vAlign w:val="bottom"/>
            <w:vMerge w:val="continue"/>
          </w:tcPr>
          <w:p>
            <w:pPr>
              <w:spacing w:after="0"/>
              <w:rPr>
                <w:sz w:val="10"/>
                <w:szCs w:val="10"/>
                <w:color w:val="auto"/>
              </w:rPr>
            </w:pPr>
          </w:p>
        </w:tc>
        <w:tc>
          <w:tcPr>
            <w:tcW w:w="1100" w:type="dxa"/>
            <w:vAlign w:val="bottom"/>
          </w:tcPr>
          <w:p>
            <w:pPr>
              <w:jc w:val="right"/>
              <w:ind w:right="199"/>
              <w:spacing w:after="0" w:line="126" w:lineRule="exact"/>
              <w:rPr>
                <w:sz w:val="20"/>
                <w:szCs w:val="20"/>
                <w:color w:val="auto"/>
              </w:rPr>
            </w:pPr>
            <w:r>
              <w:rPr>
                <w:rFonts w:ascii="Arial" w:cs="Arial" w:eastAsia="Arial" w:hAnsi="Arial"/>
                <w:sz w:val="13"/>
                <w:szCs w:val="13"/>
                <w:color w:val="0000FF"/>
              </w:rPr>
              <w:t>05/26/2010</w:t>
            </w:r>
          </w:p>
        </w:tc>
        <w:tc>
          <w:tcPr>
            <w:tcW w:w="10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line="126" w:lineRule="exact"/>
              <w:rPr>
                <w:sz w:val="20"/>
                <w:szCs w:val="20"/>
                <w:color w:val="auto"/>
              </w:rPr>
            </w:pPr>
            <w:r>
              <w:rPr>
                <w:rFonts w:ascii="Arial" w:cs="Arial" w:eastAsia="Arial" w:hAnsi="Arial"/>
                <w:sz w:val="13"/>
                <w:szCs w:val="13"/>
                <w:color w:val="0000FF"/>
              </w:rPr>
              <w:t>200,000</w:t>
            </w:r>
          </w:p>
        </w:tc>
        <w:tc>
          <w:tcPr>
            <w:tcW w:w="740" w:type="dxa"/>
            <w:vAlign w:val="bottom"/>
            <w:vMerge w:val="continue"/>
          </w:tcPr>
          <w:p>
            <w:pPr>
              <w:spacing w:after="0"/>
              <w:rPr>
                <w:sz w:val="10"/>
                <w:szCs w:val="10"/>
                <w:color w:val="auto"/>
              </w:rPr>
            </w:pPr>
          </w:p>
        </w:tc>
        <w:tc>
          <w:tcPr>
            <w:tcW w:w="700" w:type="dxa"/>
            <w:vAlign w:val="bottom"/>
          </w:tcPr>
          <w:p>
            <w:pPr>
              <w:ind w:left="40"/>
              <w:spacing w:after="0" w:line="126" w:lineRule="exact"/>
              <w:rPr>
                <w:sz w:val="20"/>
                <w:szCs w:val="20"/>
                <w:color w:val="auto"/>
              </w:rPr>
            </w:pPr>
            <w:r>
              <w:rPr>
                <w:rFonts w:ascii="Arial" w:cs="Arial" w:eastAsia="Arial" w:hAnsi="Arial"/>
                <w:sz w:val="13"/>
                <w:szCs w:val="13"/>
                <w:color w:val="0000FF"/>
                <w:w w:val="98"/>
              </w:rPr>
              <w:t>01/19/2014</w:t>
            </w: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20" w:type="dxa"/>
            <w:vAlign w:val="bottom"/>
          </w:tcPr>
          <w:p>
            <w:pPr>
              <w:jc w:val="right"/>
              <w:ind w:right="41"/>
              <w:spacing w:after="0" w:line="126" w:lineRule="exact"/>
              <w:rPr>
                <w:sz w:val="20"/>
                <w:szCs w:val="20"/>
                <w:color w:val="auto"/>
              </w:rPr>
            </w:pPr>
            <w:r>
              <w:rPr>
                <w:rFonts w:ascii="Arial" w:cs="Arial" w:eastAsia="Arial" w:hAnsi="Arial"/>
                <w:sz w:val="13"/>
                <w:szCs w:val="13"/>
                <w:color w:val="0000FF"/>
              </w:rPr>
              <w:t>0</w:t>
            </w:r>
          </w:p>
        </w:tc>
        <w:tc>
          <w:tcPr>
            <w:tcW w:w="320" w:type="dxa"/>
            <w:vAlign w:val="bottom"/>
          </w:tcPr>
          <w:p>
            <w:pPr>
              <w:spacing w:after="0"/>
              <w:rPr>
                <w:sz w:val="10"/>
                <w:szCs w:val="10"/>
                <w:color w:val="auto"/>
              </w:rPr>
            </w:pPr>
          </w:p>
        </w:tc>
        <w:tc>
          <w:tcPr>
            <w:tcW w:w="66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3"/>
                <w:szCs w:val="13"/>
                <w:color w:val="0000FF"/>
                <w:w w:val="82"/>
              </w:rPr>
              <w:t>Shares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(4)</w:t>
            </w: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125,000</w:t>
            </w:r>
          </w:p>
        </w:tc>
        <w:tc>
          <w:tcPr>
            <w:tcW w:w="20" w:type="dxa"/>
            <w:vAlign w:val="bottom"/>
          </w:tcPr>
          <w:p>
            <w:pPr>
              <w:spacing w:after="0"/>
              <w:rPr>
                <w:sz w:val="16"/>
                <w:szCs w:val="16"/>
                <w:color w:val="auto"/>
              </w:rPr>
            </w:pP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6" w:lineRule="exact"/>
              <w:rPr>
                <w:sz w:val="20"/>
                <w:szCs w:val="20"/>
                <w:color w:val="auto"/>
              </w:rPr>
            </w:pPr>
            <w:r>
              <w:rPr>
                <w:rFonts w:ascii="Arial" w:cs="Arial" w:eastAsia="Arial" w:hAnsi="Arial"/>
                <w:sz w:val="13"/>
                <w:szCs w:val="13"/>
                <w:color w:val="0000FF"/>
              </w:rPr>
              <w:t>Share</w:t>
            </w:r>
          </w:p>
        </w:tc>
        <w:tc>
          <w:tcPr>
            <w:tcW w:w="780" w:type="dxa"/>
            <w:vAlign w:val="bottom"/>
          </w:tcPr>
          <w:p>
            <w:pPr>
              <w:jc w:val="center"/>
              <w:ind w:right="162"/>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742</w:t>
            </w:r>
          </w:p>
        </w:tc>
        <w:tc>
          <w:tcPr>
            <w:tcW w:w="1100" w:type="dxa"/>
            <w:vAlign w:val="bottom"/>
          </w:tcPr>
          <w:p>
            <w:pPr>
              <w:jc w:val="right"/>
              <w:ind w:right="199"/>
              <w:spacing w:after="0" w:line="126" w:lineRule="exact"/>
              <w:rPr>
                <w:sz w:val="20"/>
                <w:szCs w:val="20"/>
                <w:color w:val="auto"/>
              </w:rPr>
            </w:pPr>
            <w:r>
              <w:rPr>
                <w:rFonts w:ascii="Arial" w:cs="Arial" w:eastAsia="Arial" w:hAnsi="Arial"/>
                <w:sz w:val="13"/>
                <w:szCs w:val="13"/>
                <w:color w:val="0000FF"/>
              </w:rPr>
              <w:t>05/26/2010</w:t>
            </w:r>
          </w:p>
        </w:tc>
        <w:tc>
          <w:tcPr>
            <w:tcW w:w="10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580" w:type="dxa"/>
            <w:vAlign w:val="bottom"/>
          </w:tcPr>
          <w:p>
            <w:pPr>
              <w:ind w:left="20"/>
              <w:spacing w:after="0" w:line="126" w:lineRule="exact"/>
              <w:rPr>
                <w:sz w:val="20"/>
                <w:szCs w:val="20"/>
                <w:color w:val="auto"/>
              </w:rPr>
            </w:pPr>
            <w:r>
              <w:rPr>
                <w:rFonts w:ascii="Arial" w:cs="Arial" w:eastAsia="Arial" w:hAnsi="Arial"/>
                <w:sz w:val="13"/>
                <w:szCs w:val="13"/>
                <w:color w:val="0000FF"/>
              </w:rPr>
              <w:t>125,000</w:t>
            </w:r>
          </w:p>
        </w:tc>
        <w:tc>
          <w:tcPr>
            <w:tcW w:w="5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tcPr>
          <w:p>
            <w:pPr>
              <w:ind w:left="40"/>
              <w:spacing w:after="0" w:line="126" w:lineRule="exact"/>
              <w:rPr>
                <w:sz w:val="20"/>
                <w:szCs w:val="20"/>
                <w:color w:val="auto"/>
              </w:rPr>
            </w:pPr>
            <w:r>
              <w:rPr>
                <w:rFonts w:ascii="Arial" w:cs="Arial" w:eastAsia="Arial" w:hAnsi="Arial"/>
                <w:sz w:val="13"/>
                <w:szCs w:val="13"/>
                <w:color w:val="0000FF"/>
                <w:w w:val="98"/>
              </w:rPr>
              <w:t>01/20/2017</w:t>
            </w: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gridSpan w:val="2"/>
          </w:tcPr>
          <w:p>
            <w:pPr>
              <w:jc w:val="right"/>
              <w:ind w:right="182"/>
              <w:spacing w:after="0" w:line="126" w:lineRule="exact"/>
              <w:rPr>
                <w:sz w:val="20"/>
                <w:szCs w:val="20"/>
                <w:color w:val="auto"/>
              </w:rPr>
            </w:pPr>
            <w:r>
              <w:rPr>
                <w:rFonts w:ascii="Arial" w:cs="Arial" w:eastAsia="Arial" w:hAnsi="Arial"/>
                <w:sz w:val="13"/>
                <w:szCs w:val="13"/>
                <w:color w:val="0000FF"/>
              </w:rPr>
              <w:t>125,000</w:t>
            </w:r>
          </w:p>
        </w:tc>
        <w:tc>
          <w:tcPr>
            <w:tcW w:w="66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3"/>
                <w:szCs w:val="13"/>
                <w:color w:val="0000FF"/>
                <w:w w:val="82"/>
              </w:rPr>
              <w:t>Shares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15,000 restricted Common Shares which were to vest in the event of a change in control of the Company occurring by January 19, 2012 now will vest in three equal annual installments beginning on January 20, 2013.</w:t>
      </w:r>
    </w:p>
    <w:p>
      <w:pPr>
        <w:spacing w:after="0" w:line="67" w:lineRule="exact"/>
        <w:rPr>
          <w:rFonts w:ascii="Arial" w:cs="Arial" w:eastAsia="Arial" w:hAnsi="Arial"/>
          <w:sz w:val="11"/>
          <w:szCs w:val="11"/>
          <w:color w:val="008000"/>
        </w:rPr>
      </w:pPr>
    </w:p>
    <w:p>
      <w:pPr>
        <w:ind w:left="40" w:right="160" w:firstLine="2"/>
        <w:spacing w:after="0" w:line="250"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the date of Reporting Person's last filing, Reporting Person acquired 40 shares of WTM Common Shares under his Company 401(k) Plan account Plan. WTM Common Shares are purchased at fair market value on the date of purchase. The information in this report is based on a plan statement dated as of May 21, 2010.</w:t>
      </w:r>
    </w:p>
    <w:p>
      <w:pPr>
        <w:spacing w:after="0" w:line="24" w:lineRule="exact"/>
        <w:rPr>
          <w:rFonts w:ascii="Arial" w:cs="Arial" w:eastAsia="Arial" w:hAnsi="Arial"/>
          <w:sz w:val="13"/>
          <w:szCs w:val="13"/>
          <w:color w:val="008000"/>
        </w:rPr>
      </w:pPr>
    </w:p>
    <w:p>
      <w:pPr>
        <w:ind w:left="40" w:right="320" w:firstLine="2"/>
        <w:spacing w:after="0" w:line="250"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January 20, 2007, the Reporting Person was granted options to purchase 200,000 Common Shares with an initial exercise price of $650 per share. The exercise price increases on a cumulative basis at an annual rate of 5% less the annualized regular dividend rate and, as of February 24, 2010, had increased to $742 per share.</w:t>
      </w:r>
    </w:p>
    <w:p>
      <w:pPr>
        <w:spacing w:after="0" w:line="24" w:lineRule="exact"/>
        <w:rPr>
          <w:rFonts w:ascii="Arial" w:cs="Arial" w:eastAsia="Arial" w:hAnsi="Arial"/>
          <w:sz w:val="13"/>
          <w:szCs w:val="13"/>
          <w:color w:val="008000"/>
        </w:rPr>
      </w:pPr>
    </w:p>
    <w:p>
      <w:pPr>
        <w:ind w:left="40" w:right="28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May 26, 2010, the Reporting Person's options were amended to (i) fix the strike price at $742, (ii) extinguish 75,000 of the 200,000 options, (iii) extend the term of the option by three years, and (iv) limit the potential in-the-money value of the options in excess of $100 million to 50% of the amount in excess of $100 million. For reporting purposes, this is a deemed cancellation of the original option granted on January 20, 2007 and the grant of a replacement option. The Company's shareholders approved the amendment on May 26, 2010 at which time it became effective.</w:t>
      </w:r>
    </w:p>
    <w:p>
      <w:pPr>
        <w:sectPr>
          <w:pgSz w:w="11900" w:h="16995" w:orient="portrait"/>
          <w:cols w:equalWidth="0" w:num="1">
            <w:col w:w="11520"/>
          </w:cols>
          <w:pgMar w:left="240" w:top="222" w:right="139" w:bottom="0" w:gutter="0" w:footer="0" w:header="0"/>
          <w:type w:val="continuous"/>
        </w:sectPr>
      </w:pP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5. The options vest in five equal annual installments beginning January 20, 2008.</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Jason R. Lichtenstein,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2540</wp:posOffset>
            </wp:positionV>
            <wp:extent cx="1376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6045" cy="8255"/>
                    </a:xfrm>
                    <a:prstGeom prst="rect">
                      <a:avLst/>
                    </a:prstGeom>
                    <a:noFill/>
                  </pic:spPr>
                </pic:pic>
              </a:graphicData>
            </a:graphic>
          </wp:anchor>
        </w:drawing>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-15875</wp:posOffset>
            </wp:positionV>
            <wp:extent cx="4953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1520" w:firstLine="2"/>
        <w:spacing w:after="0" w:line="391"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05/28/2010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486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ectPr>
          <w:pgSz w:w="11900" w:h="16995" w:orient="portrait"/>
          <w:cols w:equalWidth="0" w:num="2">
            <w:col w:w="9020" w:space="120"/>
            <w:col w:w="2380"/>
          </w:cols>
          <w:pgMar w:left="240" w:top="222"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79"/>
          </w:cols>
          <w:pgMar w:left="280" w:top="162" w:right="1440" w:bottom="1440" w:gutter="0" w:footer="0" w:header="0"/>
        </w:sectPr>
      </w:pPr>
    </w:p>
    <w:bookmarkStart w:id="2" w:name="page3"/>
    <w:bookmarkEnd w:id="2"/>
    <w:p>
      <w:pPr>
        <w:ind w:right="4259"/>
        <w:spacing w:after="0" w:line="256"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4" w:lineRule="exact"/>
        <w:rPr>
          <w:sz w:val="20"/>
          <w:szCs w:val="20"/>
          <w:color w:val="auto"/>
        </w:rPr>
      </w:pPr>
    </w:p>
    <w:p>
      <w:pPr>
        <w:ind w:right="4059" w:firstLine="3"/>
        <w:spacing w:after="0" w:line="241" w:lineRule="auto"/>
        <w:tabs>
          <w:tab w:leader="none" w:pos="40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3" w:lineRule="exact"/>
        <w:rPr>
          <w:rFonts w:ascii="Courier New" w:cs="Courier New" w:eastAsia="Courier New" w:hAnsi="Courier New"/>
          <w:sz w:val="17"/>
          <w:szCs w:val="17"/>
          <w:color w:val="auto"/>
        </w:rPr>
      </w:pPr>
    </w:p>
    <w:p>
      <w:pPr>
        <w:ind w:right="3959" w:firstLine="3"/>
        <w:spacing w:after="0" w:line="241" w:lineRule="auto"/>
        <w:tabs>
          <w:tab w:leader="none" w:pos="40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5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459"/>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4" w:lineRule="exact"/>
        <w:rPr>
          <w:rFonts w:ascii="Courier New" w:cs="Courier New" w:eastAsia="Courier New" w:hAnsi="Courier New"/>
          <w:sz w:val="17"/>
          <w:szCs w:val="17"/>
          <w:color w:val="auto"/>
        </w:rPr>
      </w:pPr>
    </w:p>
    <w:p>
      <w:pPr>
        <w:ind w:right="35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2" w:lineRule="exact"/>
        <w:rPr>
          <w:rFonts w:ascii="Courier New" w:cs="Courier New" w:eastAsia="Courier New" w:hAnsi="Courier New"/>
          <w:sz w:val="17"/>
          <w:szCs w:val="17"/>
          <w:color w:val="auto"/>
        </w:rPr>
      </w:pPr>
    </w:p>
    <w:p>
      <w:pPr>
        <w:ind w:right="345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4" w:lineRule="exact"/>
        <w:rPr>
          <w:rFonts w:ascii="Courier New" w:cs="Courier New" w:eastAsia="Courier New" w:hAnsi="Courier New"/>
          <w:sz w:val="17"/>
          <w:szCs w:val="17"/>
          <w:color w:val="auto"/>
        </w:rPr>
      </w:pPr>
    </w:p>
    <w:p>
      <w:pPr>
        <w:ind w:right="4159"/>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4" w:lineRule="exact"/>
        <w:rPr>
          <w:rFonts w:ascii="Courier New" w:cs="Courier New" w:eastAsia="Courier New" w:hAnsi="Courier New"/>
          <w:sz w:val="17"/>
          <w:szCs w:val="17"/>
          <w:color w:val="auto"/>
        </w:rPr>
      </w:pPr>
    </w:p>
    <w:p>
      <w:pPr>
        <w:ind w:right="507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195"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2019-12-18T13:37:15Z</dcterms:created>
  <dcterms:modified xsi:type="dcterms:W3CDTF">2019-12-18T13:37:15Z</dcterms:modified>
</cp:coreProperties>
</file>