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945"/>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August 6, 2026</w: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WHITE MOUNTAINS INSURANCE GROUP, LTD.</w: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193" w:type="dxa"/>
        <w:jc w:val="center"/>
        <w:tblInd w:w="0" w:type="dxa"/>
        <w:tblLayout w:type="fixed"/>
        <w:tblCellMar>
          <w:top w:w="28" w:type="dxa"/>
          <w:left w:w="28" w:type="dxa"/>
          <w:bottom w:w="28" w:type="dxa"/>
          <w:right w:w="28" w:type="dxa"/>
        </w:tblCellMar>
      </w:tblPr>
      <w:tblGrid>
        <w:gridCol w:w="1102"/>
        <w:gridCol w:w="969"/>
        <w:gridCol w:w="973"/>
        <w:gridCol w:w="859"/>
        <w:gridCol w:w="859"/>
        <w:gridCol w:w="861"/>
        <w:gridCol w:w="1046"/>
        <w:gridCol w:w="1046"/>
        <w:gridCol w:w="1478"/>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4"/>
              </w:rPr>
              <w:t>Bermuda</w:t>
            </w:r>
            <w:r>
              <w:rPr>
                <w:color w:val="000000"/>
              </w:rPr>
              <w:t xml:space="preserve"> </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 of</w:t>
            </w:r>
          </w:p>
          <w:p>
            <w:pPr>
              <w:pStyle w:val="TableContents"/>
              <w:bidi w:val="0"/>
              <w:spacing w:lineRule="auto" w:line="240" w:before="0" w:after="0"/>
              <w:ind w:left="0" w:right="0" w:firstLine="45"/>
              <w:jc w:val="center"/>
              <w:rPr>
                <w:color w:val="000000"/>
              </w:rPr>
            </w:pPr>
            <w:r>
              <w:rPr>
                <w:color w:val="000000"/>
              </w:rPr>
              <w:t> </w:t>
            </w:r>
            <w:r>
              <w:rPr>
                <w:rFonts w:ascii="Times New Roman;serif" w:hAnsi="Times New Roman;serif"/>
                <w:b w:val="false"/>
                <w:color w:val="000000"/>
                <w:sz w:val="24"/>
              </w:rPr>
              <w:t>incorporation or organization)</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24"/>
              </w:rPr>
            </w:pPr>
            <w:r>
              <w:rPr>
                <w:rFonts w:ascii="Times New Roman;serif" w:hAnsi="Times New Roman;serif"/>
                <w:b/>
                <w:color w:val="000000"/>
                <w:sz w:val="24"/>
              </w:rPr>
              <w:t>1-8993</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(Commission file number)</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24"/>
              </w:rPr>
            </w:pPr>
            <w:r>
              <w:rPr>
                <w:rFonts w:ascii="Times New Roman;serif" w:hAnsi="Times New Roman;serif"/>
                <w:b/>
                <w:color w:val="000000"/>
                <w:sz w:val="24"/>
              </w:rPr>
              <w:t>94-2708455</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(I.R.S. Employer Identification No.)</w:t>
            </w:r>
          </w:p>
        </w:tc>
      </w:tr>
    </w:tbl>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23 South Main Street, Suite 3B, Hanover, New Hampshire 03755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(603) 640-2200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728" w:type="dxa"/>
        <w:jc w:val="left"/>
        <w:tblInd w:w="0" w:type="dxa"/>
        <w:tblLayout w:type="fixed"/>
        <w:tblCellMar>
          <w:top w:w="28" w:type="dxa"/>
          <w:left w:w="28" w:type="dxa"/>
          <w:bottom w:w="28" w:type="dxa"/>
          <w:right w:w="28" w:type="dxa"/>
        </w:tblCellMar>
      </w:tblPr>
      <w:tblGrid>
        <w:gridCol w:w="1287"/>
        <w:gridCol w:w="1131"/>
        <w:gridCol w:w="1136"/>
        <w:gridCol w:w="109"/>
        <w:gridCol w:w="109"/>
        <w:gridCol w:w="109"/>
        <w:gridCol w:w="564"/>
        <w:gridCol w:w="564"/>
        <w:gridCol w:w="566"/>
        <w:gridCol w:w="109"/>
        <w:gridCol w:w="109"/>
        <w:gridCol w:w="109"/>
        <w:gridCol w:w="1121"/>
        <w:gridCol w:w="1121"/>
        <w:gridCol w:w="15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Bermuda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Indicate by check mark whether the registrant is an emerging growth company as defined in Rule 405 of the Securities Act of 1933(§230.405 of this chapter) or Rule 12b-2 of the Securities Exchange Act of 1934 (§240.12b-2 of this chapter).                                     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White Mountains Insurance Group, Ltd. issued a press release announcing its results for the three and six months ended June 30, 2026. The press release furnished herewith is attached as Exhibit 99.1 to this Form 8-K.</w:t>
      </w:r>
    </w:p>
    <w:p>
      <w:pPr>
        <w:pStyle w:val="TextBody"/>
        <w:bidi w:val="0"/>
        <w:spacing w:lineRule="auto" w:line="288" w:before="0" w:after="0"/>
        <w:jc w:val="left"/>
        <w:rPr/>
      </w:pPr>
      <w:r>
        <w:rPr>
          <w:rFonts w:ascii="Times New Roman;serif" w:hAnsi="Times New Roman;serif"/>
          <w:b w:val="false"/>
          <w:color w:val="000000"/>
          <w:sz w:val="20"/>
        </w:rPr>
        <w:t>Certain information included in the press release constitutes non-GAAP financial measures (as defined in Regulation G of the Securities and Exchange Commission). Specifically, there are 14 non-GAAP financial measures: (i) Ark’s tangible book value, (ii) Ark’s growth in tangible book value,</w:t>
      </w:r>
      <w:r>
        <w:rPr>
          <w:color w:val="000000"/>
        </w:rPr>
        <w:t xml:space="preserve"> </w:t>
      </w:r>
      <w:r>
        <w:rPr>
          <w:rFonts w:ascii="Times New Roman;serif" w:hAnsi="Times New Roman;serif"/>
          <w:b w:val="false"/>
          <w:color w:val="000000"/>
          <w:sz w:val="20"/>
        </w:rPr>
        <w:t>(iii) Kudu’s earnings before interest, taxes, depreciation and amortization (“EBITDA”), (iv) Kudu’s adjusted EBITDA, (v) Kudu’s annualized adjusted EBITDA, (vi) Kudu’s annualized revenue, (vii) Kudu’s cash revenue yield, (viii) Distinguished’s ScaleCo net income (loss), (ix) Distinguished’s ScaleCo EBITDA, (x) Distinguished’s ScaleCo adjusted EBITDA, (xi) WTM Partners’s EBITDA, (xii) WTM Partners’s adjusted EBITDA, (xiii) total consolidated portfolio return excluding MediaAlpha and (xiv) total equity portfolio return excluding MediaAlpha. These non-GAAP financial measures have been reconciled from their most comparable GAAP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Ark’s tangible book value and growth in tangible book value are non-GAAP financial measures. Tangible book value is a non-GAAP financial measure derived by adjusting GAAP book value to exclude (i) goodwill and other intangible assets, (ii) the deferred tax liability on other intangible assets and (iii) the contingent consideration liability. The contingent consideration liability represents the estimated fair value of the additional shares that could be earned by management rollover shareholders if and to the extent that White Mountains achieves certain multiple of invested capital return thresholds. If earned, these additional shares would result in a reallocation of economics among Ark’s shareholders, which is reflected in the fair value of the contingent consideration liability recorded by White Mountains, but would have no impact on Ark’s stand-alone book value or tangible book value. Growth in tangible book value equals the change in tangible book value plus dividends for the period divided by beginning tangible book value.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believes that these non-GAAP financial measures are useful to management and investors in evaluating Ark’s enterprise value. The following table presents the reconciliation of Ark’s GAAP equity to tangible book value: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06"/>
        <w:gridCol w:w="1491"/>
        <w:gridCol w:w="1493"/>
        <w:gridCol w:w="109"/>
        <w:gridCol w:w="109"/>
        <w:gridCol w:w="109"/>
        <w:gridCol w:w="211"/>
        <w:gridCol w:w="781"/>
        <w:gridCol w:w="301"/>
        <w:gridCol w:w="109"/>
        <w:gridCol w:w="109"/>
        <w:gridCol w:w="109"/>
        <w:gridCol w:w="211"/>
        <w:gridCol w:w="766"/>
        <w:gridCol w:w="271"/>
        <w:gridCol w:w="109"/>
        <w:gridCol w:w="109"/>
        <w:gridCol w:w="109"/>
        <w:gridCol w:w="274"/>
        <w:gridCol w:w="1000"/>
        <w:gridCol w:w="353"/>
        <w:gridCol w:w="109"/>
        <w:gridCol w:w="157"/>
      </w:tblGrid>
      <w:tr>
        <w:trPr/>
        <w:tc>
          <w:tcPr>
            <w:tcW w:w="180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GAAP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1,615.0</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3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goodwill and other intangible assets, net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Plus: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tangible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1,736.4</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3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tangible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tangible book value, including dividends: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Amounts are net of deferred tax liabilities related to other intangible assets of $43.9.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Kudu’s EBITDA, adjusted EBITDA, annualized adjusted EBITDA, annualized revenue and cash revenue yield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net realized and unrealized investment gains (losses) on Kudu’s revenue and earnings participation contracts, (ii) non-cash equity-based compensation expense and (iii) transaction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Net realized and unrealized investment gains (losses)</w:t>
      </w:r>
      <w:r>
        <w:rPr>
          <w:color w:val="000000"/>
        </w:rPr>
        <w:t xml:space="preserve"> </w:t>
      </w:r>
      <w:r>
        <w:rPr>
          <w:rFonts w:ascii="Times New Roman;serif" w:hAnsi="Times New Roman;serif"/>
          <w:b w:val="false"/>
          <w:color w:val="000000"/>
          <w:sz w:val="20"/>
        </w:rPr>
        <w:t>- Represents net unrealized investment gains and losses recorded on Kudu’s revenue and earnings participation contracts, which are recorded at fair value under GAAP, and realized investment gains and losses from participation contracts sold during the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Non-cash equity-based compensation expense</w:t>
      </w:r>
      <w:r>
        <w:rPr>
          <w:color w:val="000000"/>
        </w:rPr>
        <w:t xml:space="preserve"> </w:t>
      </w:r>
      <w:r>
        <w:rPr>
          <w:rFonts w:ascii="Times New Roman;serif" w:hAnsi="Times New Roman;serif"/>
          <w:b w:val="false"/>
          <w:color w:val="000000"/>
          <w:sz w:val="20"/>
        </w:rPr>
        <w:t>- Represents non-cash expenses related to Kudu’s management compensation that are settled with equity units in Kudu.</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Transaction expenses</w:t>
      </w:r>
      <w:r>
        <w:rPr>
          <w:color w:val="000000"/>
        </w:rPr>
        <w:t xml:space="preserve"> </w:t>
      </w:r>
      <w:r>
        <w:rPr>
          <w:rFonts w:ascii="Times New Roman;serif" w:hAnsi="Times New Roman;serif"/>
          <w:b w:val="false"/>
          <w:color w:val="000000"/>
          <w:sz w:val="20"/>
        </w:rPr>
        <w:t>- Represents costs directly related to Kudu’s mergers and acquisitions activity, such as external lawyer, banker, consulting and placement agent fees, which are not capitalized and are expensed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Annualized adjusted EBITDA is a non-GAAP financial measure that (i) annualizes partial year revenues related to Kudu’s revenue and earnings participation contracts acquired during the previous 12-month period and (ii) removes partial year revenues related to revenue and earnings participation contracts sold during the previous 12-month period. Annualized revenue is a non-GAAP financial measure that adds the adjustments for annualized adjusted EBITDA to GAAP net investment income. Cash revenue yield is a non-GAAP financial measure that is derived using annualized revenue as a percentage of total net capital drawn and invested. The most directly comparable GAAP financial measure is net investment income revenue yield, which is derived using GAAP net investment income as a percentage of total net capital drawn and invested.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believes that these non-GAAP financial measures are useful to management and investors in evaluating Kudu’s underlying performance. White Mountains also believes that annualized adjusted EBITDA is useful to management and investors in understanding the full earnings profile of Kudu’s business as of the end of any 12-month period. See page 18 of Exhibit 99.1 to this Form 8-K for the reconciliation of Kudu’s GAAP net income (loss) to EBITDA, adjusted EBITDA and annualized adjusted EBITDA, and the reconciliation of Kudu’s GAAP net investment income to annualized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Distinguished’s ScaleCo net income (loss), ScaleCo EBITDA and ScaleCo adjusted EBITDA are non-GAAP financial measures. ScaleCo net income (loss) is a non-GAAP financial measure that excludes the results of the GrowthCo vertical, which is consolidated under GAAP, from Distinguished’s consolidated GAAP net income (loss). ScaleCo EBITDA is a non-GAAP financial measure that adds back interest expense on debt, income tax (expense) benefit, depreciation and amortization of other intangible assets to ScaleCo net income (loss). ScaleCo adjusted EBITDA is a non-GAAP financial measure that excludes certain other items in GAAP net income (loss) in addition to those items added back to calculate ScaleCo EBITDA. The items relate to (i) non-cash equity-based compensation expense, (ii) restructuring expenses and (iii) legal settlement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Non-cash equity-based compensation expense</w:t>
      </w:r>
      <w:r>
        <w:rPr>
          <w:color w:val="000000"/>
        </w:rPr>
        <w:t xml:space="preserve"> </w:t>
      </w:r>
      <w:r>
        <w:rPr>
          <w:rFonts w:ascii="Times New Roman;serif" w:hAnsi="Times New Roman;serif"/>
          <w:b w:val="false"/>
          <w:color w:val="000000"/>
          <w:sz w:val="20"/>
        </w:rPr>
        <w:t>- Represents non-cash expenses related to Distinguished’s management compensation that are settled with equity units in Distinguished.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expenses</w:t>
      </w:r>
      <w:r>
        <w:rPr>
          <w:color w:val="000000"/>
        </w:rPr>
        <w:t xml:space="preserve"> </w:t>
      </w:r>
      <w:r>
        <w:rPr>
          <w:rFonts w:ascii="Times New Roman;serif" w:hAnsi="Times New Roman;serif"/>
          <w:b w:val="false"/>
          <w:color w:val="000000"/>
          <w:sz w:val="20"/>
        </w:rPr>
        <w:t>- Represents costs related to Distinguished’s corporate restructuring and capital planning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Legal settlement expenses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Represents amounts incurred related to legal settlements.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believes that these non-GAAP financial measures are useful to management and investors in evaluating Distinguished’s underlying performance. White Mountains also believes that excluding the results of the GrowthCo vertical, which Distinguished views as an investment in start-up programs, is useful to understanding the underlying performance of Distinguished’s established programs. See page 21 of Exhibit 99.1 to this Form 8-K for the reconciliation of Distinguished’s consolidated GAAP net income (loss) to ScaleCo net income (loss), ScaleCo EBITDA and ScaleCo adjusted EBITDA.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Partners’s EBITDA and adjusted EBITDA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transaction expenses and (ii) restructuring and integration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Transaction expenses</w:t>
      </w:r>
      <w:r>
        <w:rPr>
          <w:color w:val="000000"/>
        </w:rPr>
        <w:t xml:space="preserve"> </w:t>
      </w:r>
      <w:r>
        <w:rPr>
          <w:rFonts w:ascii="Times New Roman;serif" w:hAnsi="Times New Roman;serif"/>
          <w:b w:val="false"/>
          <w:color w:val="000000"/>
          <w:sz w:val="20"/>
        </w:rPr>
        <w:t>- Represents costs directly related to WTM Partners’s mergers and acquisitions activity, such as external lawyer, banker, consulting and placement agent fees, which are not capitalized and are expensed under GAAP.</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and integration expenses</w:t>
      </w:r>
      <w:r>
        <w:rPr>
          <w:color w:val="000000"/>
        </w:rPr>
        <w:t xml:space="preserve"> </w:t>
      </w:r>
      <w:r>
        <w:rPr>
          <w:rFonts w:ascii="Times New Roman;serif" w:hAnsi="Times New Roman;serif"/>
          <w:b w:val="false"/>
          <w:color w:val="000000"/>
          <w:sz w:val="20"/>
        </w:rPr>
        <w:t>- Represents costs related to WTM Partners’s corporate restructuring and mergers and acquisitions integration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believes that these non-GAAP financial measures are useful to management and investors in evaluating WTM Partners’s underlying performance. See page 22 of Exhibit 99.1 to this Form 8-K for the reconciliation of WTM Partners’s GAAP net income (loss) to EBITDA and adjusted EBITDA.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consolidated portfolio return excluding MediaAlpha and total equity portfolio return excluding MediaAlpha are non-GAAP financial measures that remove the net investment income and net realized and unrealized investment gains (losses) from White Mountains’s investment in MediaAlpha. White Mountains believes these measures to be useful to management and investors by showing the underlying performance of White Mountains’s investment portfolio and equity portfolio without regard to White Mountains’s investment in MediaAlpha. The following tables present reconciliations from GAAP to the reported percentages: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83"/>
        <w:gridCol w:w="1480"/>
        <w:gridCol w:w="1485"/>
        <w:gridCol w:w="109"/>
        <w:gridCol w:w="109"/>
        <w:gridCol w:w="109"/>
        <w:gridCol w:w="237"/>
        <w:gridCol w:w="239"/>
        <w:gridCol w:w="535"/>
        <w:gridCol w:w="193"/>
        <w:gridCol w:w="193"/>
        <w:gridCol w:w="193"/>
        <w:gridCol w:w="237"/>
        <w:gridCol w:w="239"/>
        <w:gridCol w:w="482"/>
        <w:gridCol w:w="109"/>
        <w:gridCol w:w="109"/>
        <w:gridCol w:w="109"/>
        <w:gridCol w:w="210"/>
        <w:gridCol w:w="211"/>
        <w:gridCol w:w="485"/>
        <w:gridCol w:w="175"/>
        <w:gridCol w:w="175"/>
        <w:gridCol w:w="175"/>
        <w:gridCol w:w="203"/>
        <w:gridCol w:w="203"/>
        <w:gridCol w:w="518"/>
      </w:tblGrid>
      <w:tr>
        <w:trPr/>
        <w:tc>
          <w:tcPr>
            <w:tcW w:w="168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 excluding MediaAlpha</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5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4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9282" w:type="dxa"/>
        <w:jc w:val="center"/>
        <w:tblInd w:w="0" w:type="dxa"/>
        <w:tblLayout w:type="fixed"/>
        <w:tblCellMar>
          <w:top w:w="28" w:type="dxa"/>
          <w:left w:w="28" w:type="dxa"/>
          <w:bottom w:w="28" w:type="dxa"/>
          <w:right w:w="28" w:type="dxa"/>
        </w:tblCellMar>
      </w:tblPr>
      <w:tblGrid>
        <w:gridCol w:w="1633"/>
        <w:gridCol w:w="1438"/>
        <w:gridCol w:w="1444"/>
        <w:gridCol w:w="109"/>
        <w:gridCol w:w="109"/>
        <w:gridCol w:w="109"/>
        <w:gridCol w:w="109"/>
        <w:gridCol w:w="109"/>
        <w:gridCol w:w="2851"/>
        <w:gridCol w:w="109"/>
        <w:gridCol w:w="239"/>
        <w:gridCol w:w="241"/>
        <w:gridCol w:w="301"/>
        <w:gridCol w:w="109"/>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portfolio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equity portfolio return excluding MediaAlpha </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605" cy="14605"/>
                <wp:effectExtent l="0" t="0" r="0" b="0"/>
                <wp:wrapNone/>
                <wp:docPr id="4" name="Frame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hyperlink w:anchor="wtmq22026earningsrelease.htm">
        <w:r>
          <w:rPr>
            <w:rStyle w:val="InternetLink"/>
          </w:rPr>
          <w:t>99.1 Press Release of White Mountains Insurance Group, Ltd. dated</w:t>
        </w:r>
      </w:hyperlink>
      <w:hyperlink w:anchor="wtmq22026earningsrelease.htm">
        <w:r>
          <w:rPr>
            <w:rStyle w:val="InternetLink"/>
          </w:rPr>
          <w:t xml:space="preserve"> August</w:t>
        </w:r>
      </w:hyperlink>
      <w:hyperlink w:anchor="wtmq22026earningsrelease.htm">
        <w:r>
          <w:rPr>
            <w:rStyle w:val="InternetLink"/>
          </w:rPr>
          <w:t xml:space="preserve"> 6, 2026, f</w:t>
        </w:r>
      </w:hyperlink>
      <w:hyperlink w:anchor="wtmq22026earningsrelease.htm">
        <w:r>
          <w:rPr>
            <w:rStyle w:val="InternetLink"/>
          </w:rPr>
          <w:t xml:space="preserve">urnished herewith. </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 the cover page XBRL tags are embedded within the Inline XBRL document.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before="0" w:after="0"/>
        <w:jc w:val="left"/>
        <w:rPr/>
      </w:pPr>
      <w:r>
        <w:rPr/>
      </w:r>
    </w:p>
    <w:tbl>
      <w:tblPr>
        <w:tblW w:w="7029"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705"/>
        <w:gridCol w:w="705"/>
        <w:gridCol w:w="705"/>
        <w:gridCol w:w="944"/>
        <w:gridCol w:w="944"/>
        <w:gridCol w:w="96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MOUNTAINS INSURANCE GROUP,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/s/   MICHAELA J. HILDRETH </w:t>
            </w:r>
            <w:r>
              <w:rPr>
                <w:color w:val="000000"/>
              </w:rPr>
              <w: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Michaela J. Hildreth </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 xml:space="preserve">Managing Director and </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0"/>
              </w:rPr>
              <w:t xml:space="preserve">Chief Accounting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4222" w:type="dxa"/>
        <w:jc w:val="left"/>
        <w:tblInd w:w="0" w:type="dxa"/>
        <w:tblLayout w:type="fixed"/>
        <w:tblCellMar>
          <w:top w:w="28" w:type="dxa"/>
          <w:left w:w="28" w:type="dxa"/>
          <w:bottom w:w="28" w:type="dxa"/>
          <w:right w:w="28" w:type="dxa"/>
        </w:tblCellMar>
      </w:tblPr>
      <w:tblGrid>
        <w:gridCol w:w="558"/>
        <w:gridCol w:w="491"/>
        <w:gridCol w:w="492"/>
        <w:gridCol w:w="109"/>
        <w:gridCol w:w="109"/>
        <w:gridCol w:w="109"/>
        <w:gridCol w:w="688"/>
        <w:gridCol w:w="688"/>
        <w:gridCol w:w="978"/>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9334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914400" cy="9334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CONTACT: Rob Seelig</w:t>
              <w:br/>
              <w:t>(603) 640-2212</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WHITE MOUNTAINS REPORTS SECOND QUARTER RESULTS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2"/>
        </w:rPr>
        <w:t xml:space="preserve">HAMILTON, Bermuda </w:t>
      </w:r>
      <w:r>
        <w:rPr>
          <w:rFonts w:ascii="Times New Roman;serif" w:hAnsi="Times New Roman;serif"/>
          <w:b w:val="false"/>
          <w:color w:val="000000"/>
          <w:sz w:val="22"/>
        </w:rPr>
        <w:t>(August 6, 2026) - White Mountains Insurance Group, Ltd. (NYSE: WTM) reported book value per share of $2,258 as of June 30, 2026, an increase of 4% for the second quarter of 2026 and 3% for the first six months of 2026, including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Liam Caffrey, CEO, commented, “Book value per share was up 4% in the quarter, driven by strong operating company results and solid investment returns. Ark produced an 84% combined ratio and strong growth in tangible book value. Kudu generated a 15% return on equity on a trailing 12 months basis, driven by strong growth on a same store basis coupled with sale transactions. HG Global grew its book value by 1%, including a $90 million dividend to White Mountains from its recent debt refinancing. Distinguished had a solid quarter, growing both managed premiums and ScaleCo adjusted EBITDA. MediaAlpha’s share price increased 35% in the quarter, producing $58 million of mark-to-market gains. Excluding MediaAlpha, the investment portfolio was up 2.8%. We repurchased $191 million of shares in the quarter and deployed $132 million into two WTM Partners acquisitions. Factoring in other recent operating company distributions, undeployed capital now stands at roughly $0.8 billion.”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Comprehensive income (loss) attributable to common shareholders was $199 million and $173 million in the second quarter and first six months of 2026 compared to $124 million and $159 million in the second quarter and first six months of 2025. Results in the second quarter and first six months of 2026 included $151 million and $161 million of net realized and unrealized investment gains compared to $87 million and $173 million in the second quarter and first six months of 2025. Results in the second quarter and first six months of 2026 also included $58 million and $(7) million of unrealized investment gains (losses) from White Mountains’s investment in MediaAlpha compared to $31 million and $(6) million in the second quarter and first six months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Ark/WM Outrigger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Ark/WM Outrigger segment’s combined ratio was 84% and 88% in the second quarter and first six months of 2026 compared to 84% and 90% in the second quarter and first six months of 2025. Ark/WM Outrigger reported gross written premiums of $778 million and $1,868 million, net written premiums of $537 million and $1,128 million and net earned premiums of $376 million and $750 million in the second quarter and first six months of 2026 compared to gross written premiums of $815 million and $1,923 million, net written premiums of $579 million and $1,306 million and net earned premiums of $364 million and $722 million in the second quarter and first six months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Ark’s combined ratio was 84% and 88% in the second quarter and first six months of 2026 compared to 85% and 90% in the second quarter and first six months of 2025. Ark’s combined ratio in the second quarter and first six months of 2026 included three points and five points of catastrophe losses, driven primarily by losses related to the war in Iran. This compares to minimal catastrophe losses in the second quarter of 2025 and thirteen points of catastrophe losses in the first six months of 2025, driven by losses related to the California wildfires. Ark’s combined ratio included eight points and six points of net favorable prior year development in the second quarter and first six months of 2026, driven by the property and specialty lines of business. This compares to five points and nine points of net favorable prior year development in the second quarter and first six months of 2025, driven primarily by the property, marine &amp; energy and specialty lines of business.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 has ongoing exposure to the war in Iran, primarily through the specialty and marine &amp; energy lines of business. In the second quarter and first six months of 2026, Ark recorded estimated losses of $17 million and $42 million (net of reinsurance and reinstatement premiums) related to the war.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Ark reported gross written premiums of $778 million and $1,868 million, net written premiums of $538 million and $1,128 million and net earned premiums of $375 million and $747 million in the second quarter and first six months of 2026 compared to gross written premiums of $815 million and $1,923 million, net written premiums of $536 million and $1,226 million and net earned premiums of $357 million and $703 million in the second quarter and first six months of 2025. The decline in gross written premiums in the second quarter of 2026 was driven primarily by softening market conditions in property lines, which was partially offset by growth in specialty lines. The decline in gross written premiums in the first six months of 2026 was driven primarily by a change in the timing of recognition of certain delegated authority business, which had no impact on the timing of recognition of Ark’s earned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Ark reported pre-tax income of $78 million and $85 million in the second quarter and first six months of 2026 compared to $91 million and $144 million in the second quarter and first six months of 2025. Ark’s results included net realized and unrealized investment gains (losses) of $31 million and $(2) million in the second quarter and first six months of 2026 compared to $51 million and $81 million in the second quarter and first six months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Ark reported book value of $1,615 million as of June 30, 2026, an increase of 4% in the second quarter of 2026 and 5% in the first six months of 2026, including dividends. Ark reported tangible book value of $1,736 million as of June 30, 2026, an increase of 6% in the second quarter of 2026 and 7% in the first six months of 2026, including dividends. Ark’s book value includes goodwill and other intangible assets, net of tax, and White Mountains’s contingent consideration liability, which are excluded from Ark’s tangible book value.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Ian Beaton, CEO of Ark, said, “Our results for the first half of the year have been good. Ark’s combined ratio was 84% for the second quarter and 88% year to date, and we grew tangible book value by 7% year to date. Gross premiums were down 5% in the quarter driven by rate softening in property lines, which offset solid growth in specialty lines. The Iran war losses to date have been manageable but uncertainty remains.”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WM Outrigger Re’s combined ratio was 25% and 40% in the second quarter and first six months of 2026 compared to 44% and 120% in the second quarter and first six months of 2025. Catastrophe losses in the first six months of 2025 included $19 million of losses related to the California wildfires (net of reinstatement premiums).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Kudu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Kudu reported total revenues of $69 million, pre-tax income of $57 million and adjusted EBITDA of $16 million in the second quarter of 2026 compared to total revenues of $20 million, pre-tax income of $11 million and adjusted EBITDA of $16 million in the second quarter of 2025. Total revenues, pre-tax income and adjusted EBITDA included $19 million of net investment income in both the second quarter of 2026 and 2025. Total revenues and pre-tax income also included $50 million of net realized and unrealized investment gains in the second quarter of 2026 compared to $1 million in the second quarter of 2025. The increase in net realized and unrealized investment gains was driven by an increase in the fair value of Kudu’s participation contracts, primarily due to lower discount rates across the portfolio and step-ups in valuation related to certain sale transactions. On a trailing 12 months basis, return on equity was 15% as of June 30, 2026, up from 12% as of March 31, 2026, primarily due to higher net realized and unrealized investment gains.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Kudu reported total revenues of $132 million, pre-tax income of $109 million and adjusted EBITDA of $33 million in the first six months of 2026 compared to total revenues of $84 million, pre-tax income of $64 million and adjusted EBITDA of $32 million in the first six months of 2025. Total revenues, pre-tax income and adjusted EBITDA included $40 million of net investment income in the first six months of 2026 compared to $39 million in the first six months of 2025. Total revenues and pre-tax income also included $92 million of net realized and unrealized investment gains in the first six months of 2026 compared to $45 million in the first six months of 2025. The increase in net realized and unrealized investment gains was driven by an increase in the fair value of Kudu’s participation contracts, primarily due to growth in assets under management at several managers, lower discount rates across the portfolio and step-ups in valuation related to certain sale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Rob Jakacki, CEO of Kudu, said, “We delivered a strong second quarter and start to the year, generating a 4% return in the quarter and a 15% return on a trailing 12 months basis. Second quarter results were buoyed by a $20 million gain from a sale transaction. We also closed on two new investments in Australia during the first half of the year, further diversifying our portfolio. Our pipeline remains robust.”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HG Global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HG Global reported gross written premiums of $11 million and $19 million and earned premiums of $8 million and $15 million in the second quarter and first six months of 2026 compared to gross written premiums of $19 million and $26 million and earned premiums of $7 million and $15 million in the second quarter and first six months of 2025. HG Global’s total par value of policies assumed was $818 million and $1,335 million in the second quarter and first six months of 2026 compared to $931 million and $1,358 million in the second quarter and first six months of 2025. HG Global’s total gross pricing was 135 and 145 basis points in the second quarter and first six months of 2026 compared to 206 and 191 basis points in the second quarter and first six months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HG Global reported pre-tax income of $10 million and $21 million in the second quarter and first six months of 2026 compared to $17 million and $42 million in the second quarter and first six months of 2025. HG Global’s results included net realized and unrealized investment gains (losses) of $(2) million and $(7) million in the second quarter and first six months of 2026 compared to $3 million and $13 million in the second quarter and first six months of 2025, driven by movements in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fair value of the BAM surplus notes increased to $353 million as of June 30, 2026 compared to $346 million as of March 31, 2026, resulting from $7 million of accrued interest. On July 28, 2026, HG Global received a cash payment of principal and interest on the BAM Surplus Notes of $8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May 14, 2026, HG Global refinanced its senior debt facility, upsizing the facility to $200 million and lowering the interest rate to a fixed rate of 7.4%. In turn, on May 26, 2026, HG Global paid a $93 million cash dividend to shareholders, of which $90 million was paid to White Mountains.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Kevin Pearson, President of HG Global, said, “HG Global had a slower second quarter, with a decline in gross written premiums, primarily due to continued tightening of municipal bond spreads and weaker primary market pricing. In the quarter, we refinanced our senior notes at improved terms and returned $93 million of capital to shareholders, enhancing our go-forward return profile.”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encourage you to read BAM’s second quarter statutory financial statements and operating supplement, which will be available on BAM’s website at https://bambonds.com/about-bam/credit-rating-and-financial-information/.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Distinguished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Distinguished reported managed premiums of $189 million and $321 million, commission and fee revenues of $57 million and $96 million, pre-tax loss of $11 million and $28 million and ScaleCo adjusted EBITDA of $12 million and $17 million for the second quarter and first six months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a trailing 12 months basis, Distinguished reported managed premiums of $598 million and ScaleCo adjusted EBITDA of $28 million. These figures include periods prior to White Mountains’s ownership of Distinguished, which White Mountains believes is useful in understanding Distinguished’s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Jason Rotman, President of Distinguished, said “We had a solid second quarter. Trailing 12 months managed premiums and ScaleCo adjusted EBITDA were up 4% and 8% quarter-over-quarter. During the quarter, we enjoyed particularly strong growth in the environmental and urban real estate programs, partially offset by a decline in the umbrella program. Our newer growth programs are performing well, and we continue to add new teams and product lines to our GrowthCo vertical.”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MediaAlpha</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of June 30, 2026, White Mountains owned 17.9 million shares of MediaAlpha, representing a 29% basic ownership interest based on the total class A and class B common shares outstanding. As of June 30, 2026, MediaAlpha’s share price was $12.57 per share, which increased from $9.30 per share as of March 31, 2026. The carrying value of White Mountains’s investment in MediaAlpha was $225 million as of June 30, 2026 compared to $166 million as of March 31, 2026. At our June 30, 2026 level of ownership, each $1.00 per share increase or decrease in the share price of MediaAlpha will result in an approximate $7.50 per share increase or decrease in White Mountains’s book value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encourage you to read MediaAlpha’s second quarter earnings release and related shareholder letter, which is available on MediaAlpha’s investor relations website at https://investors.mediaalpha.com.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 xml:space="preserve">WTM Partners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Beginning in the second quarter of 2026, in conjunction with the acquisitions of Basesix and Hawkeye Electric, WTM Partners has been presented as a separate reportable segment. Prior period amounts have been reclassified to conform to the current period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WTM Partners reported total revenues of $93 million and $137 million, pre-tax income of $4 million and $2 million and adjusted EBITDA of $9 million and $11 million in the second quarter and first six months of 2026 compared to total revenues of $43 million and $43 million, pre-tax income (loss) of $1 million and $(2) million and adjusted EBITDA of $3 million and $2 million in the second quarter and first six months of 2025. The increases were driven by solid organic growth at Enterprise Solutions and the acquisitions of Basesix and Hawkeye Electric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John Daly, CEO and Managing Partner of WTM Partners, said “Enterprise Solutions had a solid quarter, generating the bulk of our $9 million of adjusted EBITDA. We closed two new deals in the quarter, including Basesix, a low voltage contracting platform, and Hawkeye Electric, a bolt-on to Enterprise Solutions, further diversifying our portfolio and footprint in the essential services sector. We have deployed roughly $200 million of equity capital and are working an active pipeline of new opportunities.”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 xml:space="preserve">Other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White Mountains’s Other Operations reported pre-tax income (loss) of $115 million and $38 million in the second quarter and first six months of 2026 compared to $35 million and $(21) million in the second quarter and first six months of 2025. Net realized and unrealized investment gains were $72 million and $79 million in the second quarter and first six months of 2026 compared to $32 million and $35 million in the second quarter and first six months of 2025. Unrealized investment gains (losses) from White Mountains’s investment in MediaAlpha were $58 million and $(7) million in the second quarter and first six months of 2026 compared to $31 million and $(6) million in the second quarter and first six months of 2025. Net investment income was $16 million and $29 million in the second quarter and first six months of 2026 compared to $9 million and $18 million in the second quarter and first six months of 2025. White Mountains’s Other Operations reported general and administrative expenses of $43 million and $90 million in the second quarter and first six months of 2026 compared to $49 million and $104 million in the second quarter and first six months of 2025. The decrease in general and administrative expenses in the first six months of 2026 was driven primarily by lower loss and loss adjustment expenses in 2026 compared to 2025, which included losses related to the California wildfires, partially offset by higher incentive compensation costs due to an increase in White Mountains’s share price.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Share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second quarter of 2026, White Mountains repurchased and retired 91,194 of its common shares for $191 million at an average share price of $2,092.72, or 93% of White Mountains’s June 30, 2026 book value per share. In the first six months of 2026, White Mountains repurchased and retired 103,816 of its common shares for $217 million at an average share price of $2,088.40, or 93% of White Mountains’s June 30, 2026 book value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 xml:space="preserve">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total consolidated portfolio return was 3.5% in the second quarter of 2026. Excluding MediaAlpha, the total consolidated portfolio return was 2.8% in the second quarter of 2026. The total consolidated portfolio return was 2.7% in the second quarter of 2025. Excluding MediaAlpha, the total consolidated portfolio return was 2.3%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total consolidated portfolio return was 3.7% in the first six months of 2026. Excluding MediaAlpha, the total consolidated portfolio return was 3.8% in the first six months of 2026. The total consolidated portfolio return was 4.5% in the first six months of 2025. Excluding MediaAlpha, the total consolidated portfolio return was 4.7% in the first six months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Mark Plourde, President of White Mountains Advisors, said, "Excluding MediaAlpha, the total portfolio returned 2.8% in the quarter. Our short duration fixed income portfolio returned 0.9%, ahead of the Bloomberg Intermediate Aggregate Index return of 0.5%. Excluding MediaAlpha, the equity portfolio returned 4.9%, behind the S&amp;P 500 Index return of 15.2% in a strong up market for common stocks. Our equity results were impacted by lower relative returns from our market neutral positions and other long-term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Additional Information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White Mountains is a Bermuda-domiciled financial services holding company traded on the New York Stock Exchange under the symbol WTM and the Bermuda Stock Exchange under the symbol WTM.BH. Additional financial information and other items of interest are available at the Company’s website located at www.whitemountains.com. White Mountains expects to file its Form 10-Q today with the Securities and Exchange Commission and urges shareholders to refer to that document for more complete information concerning its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CONDENSED CONSOLIDATED BALANCE SHEETS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368" w:type="dxa"/>
        <w:jc w:val="center"/>
        <w:tblInd w:w="0" w:type="dxa"/>
        <w:tblLayout w:type="fixed"/>
        <w:tblCellMar>
          <w:top w:w="28" w:type="dxa"/>
          <w:left w:w="28" w:type="dxa"/>
          <w:bottom w:w="28" w:type="dxa"/>
          <w:right w:w="28" w:type="dxa"/>
        </w:tblCellMar>
      </w:tblPr>
      <w:tblGrid>
        <w:gridCol w:w="1345"/>
        <w:gridCol w:w="1178"/>
        <w:gridCol w:w="1197"/>
        <w:gridCol w:w="109"/>
        <w:gridCol w:w="109"/>
        <w:gridCol w:w="109"/>
        <w:gridCol w:w="185"/>
        <w:gridCol w:w="723"/>
        <w:gridCol w:w="111"/>
        <w:gridCol w:w="109"/>
        <w:gridCol w:w="109"/>
        <w:gridCol w:w="109"/>
        <w:gridCol w:w="252"/>
        <w:gridCol w:w="962"/>
        <w:gridCol w:w="151"/>
        <w:gridCol w:w="109"/>
        <w:gridCol w:w="109"/>
        <w:gridCol w:w="109"/>
        <w:gridCol w:w="188"/>
        <w:gridCol w:w="719"/>
        <w:gridCol w:w="113"/>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2,011.9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1,917.9 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1,755.8 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407.7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452.3 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435.0 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536.9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866.6 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769.0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689.7 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3,725.5</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3,926.5 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3,411.3 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6"/>
              </w:rPr>
              <w:t>Cash (restricted $25.2, $1.1, $4.6)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91.5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162.7 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1,394.0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836.1 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1,473.2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848.4 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1,451.4 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327.9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211.1 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344.8 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292.5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292.5 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265.6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P&amp;C Insurance and Reinsurance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7,570.2</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6,354.1 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6,905.5 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114.4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1,344.6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1,291.4 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1,127.2 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1,459.0</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1,313.3 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1,169.5 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21.6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Asset Management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1,496.9</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1,402.3 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1,230.7 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715.1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693.4 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670.8 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34.2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749.3</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784.2 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713.7 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BAM surplus notes,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352.8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396.7 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9.8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98.5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Financial Guarantee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1,216.6</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1,236.8 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1,244.5 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79.4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94.0 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79.4</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94.0 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 (restricted $3.6, $0.1, $0.0)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Premiums, commissions and fees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69.8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565.1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577.7 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26.4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Specialty Insurance Distribution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744.8</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735.4 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78.8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36.3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269.6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43.5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Services, Industrial and Consumer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434.9</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i/>
                <w:color w:val="000000"/>
                <w:sz w:val="16"/>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312.9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169.1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224.5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231.2 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211.5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806.9 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498.5 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1,202.6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977.4 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570.8 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2,120.6</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2,205.4 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1,434.8 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24.2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48.9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104.3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Assets held for sale -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Assets held for sale -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Other Operations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2,303.3</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2,395.5 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2,258.6 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7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13,766.7</w:t>
            </w:r>
            <w:r>
              <w:rPr>
                <w:color w:val="000000"/>
              </w:rPr>
              <w:t>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12,306.5 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11,822.9 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CONDENSED CONSOLIDATED BALANCE SHEETS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8915" w:type="dxa"/>
        <w:jc w:val="center"/>
        <w:tblInd w:w="0" w:type="dxa"/>
        <w:tblLayout w:type="fixed"/>
        <w:tblCellMar>
          <w:top w:w="28" w:type="dxa"/>
          <w:left w:w="28" w:type="dxa"/>
          <w:bottom w:w="28" w:type="dxa"/>
          <w:right w:w="28" w:type="dxa"/>
        </w:tblCellMar>
      </w:tblPr>
      <w:tblGrid>
        <w:gridCol w:w="1622"/>
        <w:gridCol w:w="1424"/>
        <w:gridCol w:w="1439"/>
        <w:gridCol w:w="109"/>
        <w:gridCol w:w="109"/>
        <w:gridCol w:w="109"/>
        <w:gridCol w:w="185"/>
        <w:gridCol w:w="723"/>
        <w:gridCol w:w="111"/>
        <w:gridCol w:w="109"/>
        <w:gridCol w:w="109"/>
        <w:gridCol w:w="109"/>
        <w:gridCol w:w="252"/>
        <w:gridCol w:w="962"/>
        <w:gridCol w:w="151"/>
        <w:gridCol w:w="109"/>
        <w:gridCol w:w="109"/>
        <w:gridCol w:w="109"/>
        <w:gridCol w:w="188"/>
        <w:gridCol w:w="717"/>
        <w:gridCol w:w="160"/>
      </w:tblGrid>
      <w:tr>
        <w:trPr/>
        <w:tc>
          <w:tcPr>
            <w:tcW w:w="162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2025</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Loss and loss adjustment expense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2,623.8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6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2,481.0 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2,288.5 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1,860.4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1,026.1 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1,847.3 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159.0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158.9 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Reinsurance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642.8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286.2 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463.8 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370.0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193.4 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208.0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247.2 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P&amp;C Insurance and Reinsurance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5,864.0</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4,528.5 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5,173.5 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350.7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350.4 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246.8 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116.7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Asset Management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467.4</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446.9 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329.2 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331.8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307.9 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197.4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147.8 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147.6 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20.1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Financial Guarantee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549.3</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499.5 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488.3 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140.9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Premiums and commissions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114.0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77.3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85.0 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Specialty Insurance Distribution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332.2</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307.1 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16"/>
              </w:rPr>
            </w:pPr>
            <w:r>
              <w:rPr>
                <w:rFonts w:ascii="Arial Narrow;sans-serif" w:hAnsi="Arial Narrow;sans-serif"/>
                <w:b/>
                <w:i/>
                <w:color w:val="000000"/>
                <w:sz w:val="16"/>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66.5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35.6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81.2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6"/>
              </w:rPr>
            </w:pPr>
            <w:r>
              <w:rPr>
                <w:rFonts w:ascii="Arial Narrow;sans-serif" w:hAnsi="Arial Narrow;sans-serif"/>
                <w:b w:val="false"/>
                <w:i/>
                <w:color w:val="000000"/>
                <w:sz w:val="16"/>
              </w:rPr>
              <w:t>Total Services, Industrial and Consumer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183.3</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91.4 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90.4 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i/>
                <w:color w:val="000000"/>
                <w:sz w:val="16"/>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18.0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Accrued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56.2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40.3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Liabilities held for sale -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281.2 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Liabilities held for sale -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Total Other Operations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118.5</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178.0 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401.3 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7,514.7</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6,051.4 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6,482.7 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6"/>
              </w:rPr>
            </w:pPr>
            <w:r>
              <w:rPr>
                <w:rFonts w:ascii="Arial Narrow;sans-serif" w:hAnsi="Arial Narrow;sans-serif"/>
                <w:b/>
                <w:color w:val="000000"/>
                <w:sz w:val="16"/>
              </w:rPr>
              <w:t>131.5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131.5 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6"/>
              </w:rPr>
              <w:t>White Mountains’s common shares and paid-in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566.0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576.6 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4,821.0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4,845.6 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4,067.6 </w:t>
            </w:r>
          </w:p>
        </w:tc>
        <w:tc>
          <w:tcPr>
            <w:tcW w:w="160"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6"/>
              </w:rPr>
              <w:t>Accumulated other comprehensive income (loss), after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6"/>
              </w:rPr>
              <w:t>Net unrealized gains (losses) from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Total 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5,388.3</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5,425.4 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4,644.5 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732.2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698.2 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6,120.5</w:t>
            </w: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6,123.6 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5,340.2 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Total liabilities, redeemable noncontrolling interests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w:t>
            </w:r>
          </w:p>
        </w:tc>
        <w:tc>
          <w:tcPr>
            <w:tcW w:w="7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6"/>
              </w:rPr>
              <w:t>13,766.7</w:t>
            </w:r>
            <w:r>
              <w:rPr>
                <w:color w:val="000000"/>
              </w:rPr>
              <w:t>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12,306.5 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11,822.9 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BOOK VALUE PER SHARE</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8"/>
        <w:gridCol w:w="1312"/>
        <w:gridCol w:w="1318"/>
        <w:gridCol w:w="109"/>
        <w:gridCol w:w="109"/>
        <w:gridCol w:w="109"/>
        <w:gridCol w:w="181"/>
        <w:gridCol w:w="706"/>
        <w:gridCol w:w="241"/>
        <w:gridCol w:w="109"/>
        <w:gridCol w:w="109"/>
        <w:gridCol w:w="109"/>
        <w:gridCol w:w="181"/>
        <w:gridCol w:w="691"/>
        <w:gridCol w:w="241"/>
        <w:gridCol w:w="109"/>
        <w:gridCol w:w="109"/>
        <w:gridCol w:w="109"/>
        <w:gridCol w:w="214"/>
        <w:gridCol w:w="818"/>
        <w:gridCol w:w="284"/>
        <w:gridCol w:w="109"/>
        <w:gridCol w:w="109"/>
        <w:gridCol w:w="109"/>
        <w:gridCol w:w="181"/>
        <w:gridCol w:w="691"/>
        <w:gridCol w:w="290"/>
      </w:tblGrid>
      <w:tr>
        <w:trPr/>
        <w:tc>
          <w:tcPr>
            <w:tcW w:w="154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2025</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Book value per share numerator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White Mountains’s common shareholders’ equity</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5,388.3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5,425.4 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4,644.5 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Book value per share denominator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2,386.7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2,476.7 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2,479.7 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2,575.1 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Book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2,257.60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2,169.66 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2,187.97 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1,803.57 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Quarter-to-date change in book value per share,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4.1</w:t>
            </w: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Year-to-date change in book value per share,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w:t>
            </w: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Year-to-date 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0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w:t>
            </w:r>
            <w:r>
              <w:rPr>
                <w:color w:val="000000"/>
              </w:rPr>
              <w:t>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8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9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xml:space="preserve">(millions) </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9351" w:type="dxa"/>
        <w:jc w:val="left"/>
        <w:tblInd w:w="0" w:type="dxa"/>
        <w:tblLayout w:type="fixed"/>
        <w:tblCellMar>
          <w:top w:w="28" w:type="dxa"/>
          <w:left w:w="28" w:type="dxa"/>
          <w:bottom w:w="28" w:type="dxa"/>
          <w:right w:w="28" w:type="dxa"/>
        </w:tblCellMar>
      </w:tblPr>
      <w:tblGrid>
        <w:gridCol w:w="1527"/>
        <w:gridCol w:w="1344"/>
        <w:gridCol w:w="1359"/>
        <w:gridCol w:w="109"/>
        <w:gridCol w:w="109"/>
        <w:gridCol w:w="109"/>
        <w:gridCol w:w="204"/>
        <w:gridCol w:w="576"/>
        <w:gridCol w:w="123"/>
        <w:gridCol w:w="123"/>
        <w:gridCol w:w="123"/>
        <w:gridCol w:w="123"/>
        <w:gridCol w:w="204"/>
        <w:gridCol w:w="560"/>
        <w:gridCol w:w="123"/>
        <w:gridCol w:w="109"/>
        <w:gridCol w:w="109"/>
        <w:gridCol w:w="109"/>
        <w:gridCol w:w="181"/>
        <w:gridCol w:w="631"/>
        <w:gridCol w:w="109"/>
        <w:gridCol w:w="109"/>
        <w:gridCol w:w="109"/>
        <w:gridCol w:w="109"/>
        <w:gridCol w:w="181"/>
        <w:gridCol w:w="616"/>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376.2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750.0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investment gains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P&amp;C Insurance and Reinsurance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439.6</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447.9 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815.9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 Management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68.9</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131.9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investment gains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Financial Guarantee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20.4</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Specialty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57.4</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97.7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92.8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Services, Industrial and Consumer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92.8</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136.5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P&amp;C Insurance Distribution (Bamboo)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P&amp;C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investment gains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72.4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realized and unrealized investment gains (losses)</w:t>
              <w:br/>
              <w:t xml:space="preserve">   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Operations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165.5</w:t>
            </w: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91.4 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142.8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844.6</w:t>
            </w:r>
            <w:r>
              <w:rPr>
                <w:color w:val="000000"/>
              </w:rPr>
              <w:t>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689.2 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1,362.4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firstLine="18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CONDENSED CONSOLIDATED STATEMENTS OF OPERATIONS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11"/>
        <w:gridCol w:w="1653"/>
        <w:gridCol w:w="1667"/>
        <w:gridCol w:w="109"/>
        <w:gridCol w:w="109"/>
        <w:gridCol w:w="109"/>
        <w:gridCol w:w="200"/>
        <w:gridCol w:w="565"/>
        <w:gridCol w:w="120"/>
        <w:gridCol w:w="120"/>
        <w:gridCol w:w="120"/>
        <w:gridCol w:w="120"/>
        <w:gridCol w:w="200"/>
        <w:gridCol w:w="549"/>
        <w:gridCol w:w="120"/>
        <w:gridCol w:w="109"/>
        <w:gridCol w:w="109"/>
        <w:gridCol w:w="109"/>
        <w:gridCol w:w="186"/>
        <w:gridCol w:w="528"/>
        <w:gridCol w:w="112"/>
        <w:gridCol w:w="112"/>
        <w:gridCol w:w="112"/>
        <w:gridCol w:w="112"/>
        <w:gridCol w:w="186"/>
        <w:gridCol w:w="513"/>
        <w:gridCol w:w="112"/>
        <w:gridCol w:w="233"/>
      </w:tblGrid>
      <w:tr>
        <w:trPr/>
        <w:tc>
          <w:tcPr>
            <w:tcW w:w="191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175.6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382.3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103.7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44.4</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41.7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P&amp;C Insurance and Reinsurance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359.5</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350.4 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726.6</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 Management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11.9</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23.2</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Financial Guarantee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16.4</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23.3</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41.0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78.2</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Specialty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67.9</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125.8</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72.6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108.7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Service, Industrial and Consumer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88.7</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134.9</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P&amp;C Insurance Distribution (Bamboo)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P&amp;C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101.5 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i/>
                <w:color w:val="000000"/>
                <w:sz w:val="20"/>
              </w:rPr>
            </w:pPr>
            <w:r>
              <w:rPr>
                <w:rFonts w:ascii="Arial Narrow;sans-serif" w:hAnsi="Arial Narrow;sans-serif"/>
                <w:b/>
                <w:i/>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42.5</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89.6</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Other Operations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50.6</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105.0</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588.6</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1,131.9</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1,018.1 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256.0</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230.5</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(24.8)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231.2</w:t>
            </w:r>
            <w:r>
              <w:rPr>
                <w:color w:val="000000"/>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163.6 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204.9</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226.4 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(31.7)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(32.6)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(loss) attributable to White Mountains’s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199.5</w:t>
            </w:r>
            <w:r>
              <w:rPr>
                <w:color w:val="000000"/>
              </w:rPr>
              <w:t> </w:t>
            </w:r>
          </w:p>
        </w:tc>
        <w:tc>
          <w:tcPr>
            <w:tcW w:w="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122.9 </w:t>
            </w:r>
          </w:p>
        </w:tc>
        <w:tc>
          <w:tcPr>
            <w:tcW w:w="1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172.3</w:t>
            </w:r>
            <w:r>
              <w:rPr>
                <w:color w:val="000000"/>
              </w:rPr>
              <w:t>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9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9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CONDENSED CONSOLIDATED STATEMENTS OF COMPREHENSIVE INCOME (LOSS)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46"/>
        <w:gridCol w:w="1666"/>
        <w:gridCol w:w="1671"/>
        <w:gridCol w:w="116"/>
        <w:gridCol w:w="116"/>
        <w:gridCol w:w="116"/>
        <w:gridCol w:w="202"/>
        <w:gridCol w:w="590"/>
        <w:gridCol w:w="112"/>
        <w:gridCol w:w="112"/>
        <w:gridCol w:w="112"/>
        <w:gridCol w:w="112"/>
        <w:gridCol w:w="202"/>
        <w:gridCol w:w="575"/>
        <w:gridCol w:w="112"/>
        <w:gridCol w:w="109"/>
        <w:gridCol w:w="109"/>
        <w:gridCol w:w="109"/>
        <w:gridCol w:w="196"/>
        <w:gridCol w:w="571"/>
        <w:gridCol w:w="109"/>
        <w:gridCol w:w="109"/>
        <w:gridCol w:w="109"/>
        <w:gridCol w:w="109"/>
        <w:gridCol w:w="196"/>
        <w:gridCol w:w="556"/>
        <w:gridCol w:w="163"/>
      </w:tblGrid>
      <w:tr>
        <w:trPr/>
        <w:tc>
          <w:tcPr>
            <w:tcW w:w="19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(loss) attributable to White Mountains’s common shareholders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199.5</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net of tax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52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Comprehensive income (loss)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199.0</w:t>
            </w:r>
            <w:r>
              <w:rPr>
                <w:color w:val="000000"/>
              </w:rPr>
              <w:t>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159.9 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 attributable to noncontrolling interests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Comprehensive income (loss) attributable to White Mountains’s common shareholders</w:t>
            </w:r>
          </w:p>
        </w:tc>
        <w:tc>
          <w:tcPr>
            <w:tcW w:w="2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199.4</w:t>
            </w:r>
            <w:r>
              <w:rPr>
                <w:color w:val="000000"/>
              </w:rPr>
              <w:t>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123.7 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158.8 </w:t>
            </w:r>
          </w:p>
        </w:tc>
        <w:tc>
          <w:tcPr>
            <w:tcW w:w="1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EARNINGS PER SHARE</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9781" w:type="dxa"/>
        <w:jc w:val="center"/>
        <w:tblInd w:w="0" w:type="dxa"/>
        <w:tblLayout w:type="fixed"/>
        <w:tblCellMar>
          <w:top w:w="28" w:type="dxa"/>
          <w:left w:w="28" w:type="dxa"/>
          <w:bottom w:w="28" w:type="dxa"/>
          <w:right w:w="28" w:type="dxa"/>
        </w:tblCellMar>
      </w:tblPr>
      <w:tblGrid>
        <w:gridCol w:w="1761"/>
        <w:gridCol w:w="1547"/>
        <w:gridCol w:w="1551"/>
        <w:gridCol w:w="109"/>
        <w:gridCol w:w="109"/>
        <w:gridCol w:w="109"/>
        <w:gridCol w:w="205"/>
        <w:gridCol w:w="597"/>
        <w:gridCol w:w="114"/>
        <w:gridCol w:w="114"/>
        <w:gridCol w:w="114"/>
        <w:gridCol w:w="114"/>
        <w:gridCol w:w="205"/>
        <w:gridCol w:w="582"/>
        <w:gridCol w:w="114"/>
        <w:gridCol w:w="109"/>
        <w:gridCol w:w="109"/>
        <w:gridCol w:w="109"/>
        <w:gridCol w:w="196"/>
        <w:gridCol w:w="571"/>
        <w:gridCol w:w="109"/>
        <w:gridCol w:w="109"/>
        <w:gridCol w:w="109"/>
        <w:gridCol w:w="109"/>
        <w:gridCol w:w="196"/>
        <w:gridCol w:w="556"/>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Earnings (loss) per share attributable to White Mountains’s</w:t>
              <w:br/>
              <w:t>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80.58</w:t>
            </w:r>
            <w:r>
              <w:rPr>
                <w:color w:val="000000"/>
              </w:rPr>
              <w:t>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47.75 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67.36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80.58</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Dividends declared and paid per White Mountains’s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9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xml:space="preserve">QTD SEGMENT STATEMENTS OF PRE-TAX INCOME (LOSS) </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10788" w:type="dxa"/>
        <w:jc w:val="left"/>
        <w:tblInd w:w="0" w:type="dxa"/>
        <w:tblLayout w:type="fixed"/>
        <w:tblCellMar>
          <w:top w:w="28" w:type="dxa"/>
          <w:left w:w="28" w:type="dxa"/>
          <w:bottom w:w="28" w:type="dxa"/>
          <w:right w:w="28" w:type="dxa"/>
        </w:tblCellMar>
      </w:tblPr>
      <w:tblGrid>
        <w:gridCol w:w="864"/>
        <w:gridCol w:w="228"/>
        <w:gridCol w:w="109"/>
        <w:gridCol w:w="109"/>
        <w:gridCol w:w="109"/>
        <w:gridCol w:w="109"/>
        <w:gridCol w:w="196"/>
        <w:gridCol w:w="556"/>
        <w:gridCol w:w="109"/>
        <w:gridCol w:w="109"/>
        <w:gridCol w:w="109"/>
        <w:gridCol w:w="109"/>
        <w:gridCol w:w="224"/>
        <w:gridCol w:w="431"/>
        <w:gridCol w:w="126"/>
        <w:gridCol w:w="109"/>
        <w:gridCol w:w="109"/>
        <w:gridCol w:w="109"/>
        <w:gridCol w:w="196"/>
        <w:gridCol w:w="466"/>
        <w:gridCol w:w="109"/>
        <w:gridCol w:w="109"/>
        <w:gridCol w:w="109"/>
        <w:gridCol w:w="109"/>
        <w:gridCol w:w="196"/>
        <w:gridCol w:w="466"/>
        <w:gridCol w:w="109"/>
        <w:gridCol w:w="109"/>
        <w:gridCol w:w="109"/>
        <w:gridCol w:w="109"/>
        <w:gridCol w:w="109"/>
        <w:gridCol w:w="109"/>
        <w:gridCol w:w="265"/>
        <w:gridCol w:w="652"/>
        <w:gridCol w:w="149"/>
        <w:gridCol w:w="109"/>
        <w:gridCol w:w="109"/>
        <w:gridCol w:w="109"/>
        <w:gridCol w:w="196"/>
        <w:gridCol w:w="406"/>
        <w:gridCol w:w="109"/>
        <w:gridCol w:w="109"/>
        <w:gridCol w:w="109"/>
        <w:gridCol w:w="109"/>
        <w:gridCol w:w="198"/>
        <w:gridCol w:w="562"/>
        <w:gridCol w:w="111"/>
        <w:gridCol w:w="109"/>
        <w:gridCol w:w="109"/>
        <w:gridCol w:w="109"/>
        <w:gridCol w:w="196"/>
        <w:gridCol w:w="57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For the Three Months Ended June 30, 2026</w:t>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WM 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Earned insurance premiums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384.6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investment income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70.9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Net realized and unrealized </w:t>
            </w:r>
          </w:p>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Net realized and unrealized </w:t>
            </w:r>
          </w:p>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investment gains (losses) </w:t>
            </w:r>
          </w:p>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income from </w:t>
              <w:br/>
              <w:t>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Commission and fee revenues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60.4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107.5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revenues</w:t>
            </w:r>
            <w:r>
              <w:rPr>
                <w:color w:val="000000"/>
              </w:rPr>
              <w:t xml:space="preserve"> </w:t>
            </w:r>
            <w:r>
              <w:rPr>
                <w:rFonts w:ascii="Arial Narrow;sans-serif" w:hAnsi="Arial Narrow;sans-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57.4 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844.6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Loss and loss adjustment expenses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Insurance acquisition expenses</w:t>
            </w:r>
            <w:r>
              <w:rPr>
                <w:color w:val="000000"/>
              </w:rPr>
              <w:t xml:space="preserve">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106.1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80.1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Amortization of other intangible assets </w:t>
            </w:r>
            <w:r>
              <w:rPr>
                <w:rFonts w:ascii="Arial Narrow;sans-serif" w:hAnsi="Arial Narrow;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General and administrative expenses </w:t>
            </w:r>
            <w:r>
              <w:rPr>
                <w:rFonts w:ascii="Arial Narrow;sans-serif" w:hAnsi="Arial Narrow;sans-serif"/>
                <w:b w:val="false"/>
                <w:color w:val="000000"/>
                <w:sz w:val="10"/>
              </w:rPr>
              <w:t>(3) (4)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Change in fair value of contingent </w:t>
              <w:br/>
              <w: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50.6 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588.6</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114.9 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256.0</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Distinguished’s net investment income is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(3)</w:t>
      </w:r>
      <w:r>
        <w:rPr>
          <w:color w:val="000000"/>
        </w:rPr>
        <w:t xml:space="preserve"> </w:t>
      </w:r>
      <w:r>
        <w:rPr>
          <w:rFonts w:ascii="Arial Narrow;sans-serif" w:hAnsi="Arial Narrow;sans-serif"/>
          <w:b w:val="false"/>
          <w:color w:val="000000"/>
          <w:sz w:val="16"/>
        </w:rPr>
        <w:t>Other Operations’s loss and loss adjustment expenses and insurance acquisition expenses are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(4) </w:t>
      </w:r>
      <w:r>
        <w:rPr>
          <w:rFonts w:ascii="Arial Narrow;sans-serif" w:hAnsi="Arial Narrow;sans-serif"/>
          <w:b w:val="false"/>
          <w:color w:val="000000"/>
          <w:sz w:val="16"/>
        </w:rPr>
        <w:t>Amortization of other intangible assets is included in general and administrative expenses in the consolidated statement of operations.</w:t>
      </w:r>
    </w:p>
    <w:p>
      <w:pPr>
        <w:pStyle w:val="TextBody"/>
        <w:bidi w:val="0"/>
        <w:spacing w:lineRule="auto" w:line="288"/>
        <w:jc w:val="left"/>
        <w:rPr/>
      </w:pPr>
      <w:r>
        <w:rPr>
          <w:rFonts w:ascii="Arial Narrow;sans-serif" w:hAnsi="Arial Narrow;sans-serif"/>
          <w:b w:val="false"/>
          <w:color w:val="000000"/>
          <w:sz w:val="10"/>
        </w:rPr>
        <w:t xml:space="preserve">(5) </w:t>
      </w:r>
      <w:r>
        <w:rPr>
          <w:rFonts w:ascii="Arial Narrow;sans-serif" w:hAnsi="Arial Narrow;sans-serif"/>
          <w:b w:val="false"/>
          <w:color w:val="000000"/>
          <w:sz w:val="16"/>
        </w:rPr>
        <w:t>Ark’s general and administrative expenses include $36.3 of other underwriting expenses.</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ind w:left="0" w:right="0" w:hanging="180"/>
        <w:jc w:val="center"/>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QTD SEGMENT STATEMENTS OF PRE-TAX INCOME (LOSS)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10373" w:type="dxa"/>
        <w:jc w:val="left"/>
        <w:tblInd w:w="0" w:type="dxa"/>
        <w:tblLayout w:type="fixed"/>
        <w:tblCellMar>
          <w:top w:w="28" w:type="dxa"/>
          <w:left w:w="28" w:type="dxa"/>
          <w:bottom w:w="28" w:type="dxa"/>
          <w:right w:w="28" w:type="dxa"/>
        </w:tblCellMar>
      </w:tblPr>
      <w:tblGrid>
        <w:gridCol w:w="693"/>
        <w:gridCol w:w="201"/>
        <w:gridCol w:w="202"/>
        <w:gridCol w:w="109"/>
        <w:gridCol w:w="109"/>
        <w:gridCol w:w="109"/>
        <w:gridCol w:w="196"/>
        <w:gridCol w:w="556"/>
        <w:gridCol w:w="109"/>
        <w:gridCol w:w="109"/>
        <w:gridCol w:w="109"/>
        <w:gridCol w:w="109"/>
        <w:gridCol w:w="224"/>
        <w:gridCol w:w="431"/>
        <w:gridCol w:w="126"/>
        <w:gridCol w:w="109"/>
        <w:gridCol w:w="109"/>
        <w:gridCol w:w="109"/>
        <w:gridCol w:w="196"/>
        <w:gridCol w:w="466"/>
        <w:gridCol w:w="109"/>
        <w:gridCol w:w="109"/>
        <w:gridCol w:w="109"/>
        <w:gridCol w:w="109"/>
        <w:gridCol w:w="196"/>
        <w:gridCol w:w="466"/>
        <w:gridCol w:w="109"/>
        <w:gridCol w:w="109"/>
        <w:gridCol w:w="109"/>
        <w:gridCol w:w="109"/>
        <w:gridCol w:w="109"/>
        <w:gridCol w:w="109"/>
        <w:gridCol w:w="196"/>
        <w:gridCol w:w="406"/>
        <w:gridCol w:w="109"/>
        <w:gridCol w:w="109"/>
        <w:gridCol w:w="109"/>
        <w:gridCol w:w="109"/>
        <w:gridCol w:w="196"/>
        <w:gridCol w:w="466"/>
        <w:gridCol w:w="109"/>
        <w:gridCol w:w="109"/>
        <w:gridCol w:w="109"/>
        <w:gridCol w:w="109"/>
        <w:gridCol w:w="221"/>
        <w:gridCol w:w="526"/>
        <w:gridCol w:w="124"/>
        <w:gridCol w:w="109"/>
        <w:gridCol w:w="109"/>
        <w:gridCol w:w="109"/>
        <w:gridCol w:w="196"/>
        <w:gridCol w:w="55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Earned insurance premiums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investment income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w:t>
              <w:br/>
              <w: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Net realized and unrealized </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investment gains (losses)</w:t>
            </w:r>
          </w:p>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 xml:space="preserve">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income from </w:t>
              <w:br/>
              <w:t>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Commission and fee revenues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revenues</w:t>
            </w:r>
            <w:r>
              <w:rPr>
                <w:color w:val="000000"/>
              </w:rPr>
              <w:t xml:space="preserve"> </w:t>
            </w:r>
            <w:r>
              <w:rPr>
                <w:rFonts w:ascii="Arial Narrow;sans-serif" w:hAnsi="Arial Narrow;sans-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Loss and loss adjustment expenses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Insurance acquisition expenses</w:t>
            </w:r>
            <w:r>
              <w:rPr>
                <w:color w:val="000000"/>
              </w:rPr>
              <w:t xml:space="preserve">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Amortization of other intangible assets </w:t>
            </w:r>
            <w:r>
              <w:rPr>
                <w:rFonts w:ascii="Arial Narrow;sans-serif" w:hAnsi="Arial Narrow;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General and administrative expenses </w:t>
            </w:r>
            <w:r>
              <w:rPr>
                <w:rFonts w:ascii="Arial Narrow;sans-serif" w:hAnsi="Arial Narrow;sans-serif"/>
                <w:b w:val="false"/>
                <w:color w:val="000000"/>
                <w:sz w:val="10"/>
              </w:rPr>
              <w:t>(3) (4)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Bamboo’s net investment income is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(3)</w:t>
      </w:r>
      <w:r>
        <w:rPr>
          <w:color w:val="000000"/>
        </w:rPr>
        <w:t xml:space="preserve"> </w:t>
      </w:r>
      <w:r>
        <w:rPr>
          <w:rFonts w:ascii="Arial Narrow;sans-serif" w:hAnsi="Arial Narrow;sans-serif"/>
          <w:b w:val="false"/>
          <w:color w:val="000000"/>
          <w:sz w:val="16"/>
        </w:rPr>
        <w:t>Other Operations’s loss and loss adjustment expenses and insurance acquisition expenses are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(4) </w:t>
      </w:r>
      <w:r>
        <w:rPr>
          <w:rFonts w:ascii="Arial Narrow;sans-serif" w:hAnsi="Arial Narrow;sans-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(5) </w:t>
      </w:r>
      <w:r>
        <w:rPr>
          <w:rFonts w:ascii="Arial Narrow;sans-serif" w:hAnsi="Arial Narrow;sans-serif"/>
          <w:b w:val="false"/>
          <w:color w:val="000000"/>
          <w:sz w:val="16"/>
        </w:rPr>
        <w:t>Ark’s general and administrative expenses include $46.3 of other underwriting expenses.</w:t>
      </w:r>
    </w:p>
    <w:p>
      <w:pPr>
        <w:pStyle w:val="TextBody"/>
        <w:bidi w:val="0"/>
        <w:spacing w:before="0" w:after="0"/>
        <w:jc w:val="left"/>
        <w:rPr/>
      </w:pPr>
      <w:r>
        <w:rPr/>
      </w:r>
    </w:p>
    <w:p>
      <w:pPr>
        <w:pStyle w:val="TextBody"/>
        <w:bidi w:val="0"/>
        <w:spacing w:before="6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xml:space="preserve">YTD SEGMENT STATEMENTS OF PRE-TAX INCOME (LOSS) </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left"/>
        <w:rPr/>
      </w:pPr>
      <w:r>
        <w:rPr/>
      </w:r>
    </w:p>
    <w:tbl>
      <w:tblPr>
        <w:tblW w:w="10878" w:type="dxa"/>
        <w:jc w:val="left"/>
        <w:tblInd w:w="0" w:type="dxa"/>
        <w:tblLayout w:type="fixed"/>
        <w:tblCellMar>
          <w:top w:w="28" w:type="dxa"/>
          <w:left w:w="28" w:type="dxa"/>
          <w:bottom w:w="28" w:type="dxa"/>
          <w:right w:w="28" w:type="dxa"/>
        </w:tblCellMar>
      </w:tblPr>
      <w:tblGrid>
        <w:gridCol w:w="798"/>
        <w:gridCol w:w="201"/>
        <w:gridCol w:w="202"/>
        <w:gridCol w:w="109"/>
        <w:gridCol w:w="109"/>
        <w:gridCol w:w="109"/>
        <w:gridCol w:w="196"/>
        <w:gridCol w:w="556"/>
        <w:gridCol w:w="109"/>
        <w:gridCol w:w="109"/>
        <w:gridCol w:w="109"/>
        <w:gridCol w:w="109"/>
        <w:gridCol w:w="224"/>
        <w:gridCol w:w="431"/>
        <w:gridCol w:w="126"/>
        <w:gridCol w:w="109"/>
        <w:gridCol w:w="109"/>
        <w:gridCol w:w="109"/>
        <w:gridCol w:w="109"/>
        <w:gridCol w:w="109"/>
        <w:gridCol w:w="196"/>
        <w:gridCol w:w="556"/>
        <w:gridCol w:w="109"/>
        <w:gridCol w:w="109"/>
        <w:gridCol w:w="109"/>
        <w:gridCol w:w="109"/>
        <w:gridCol w:w="196"/>
        <w:gridCol w:w="466"/>
        <w:gridCol w:w="109"/>
        <w:gridCol w:w="109"/>
        <w:gridCol w:w="109"/>
        <w:gridCol w:w="109"/>
        <w:gridCol w:w="265"/>
        <w:gridCol w:w="652"/>
        <w:gridCol w:w="149"/>
        <w:gridCol w:w="109"/>
        <w:gridCol w:w="109"/>
        <w:gridCol w:w="109"/>
        <w:gridCol w:w="196"/>
        <w:gridCol w:w="406"/>
        <w:gridCol w:w="109"/>
        <w:gridCol w:w="109"/>
        <w:gridCol w:w="109"/>
        <w:gridCol w:w="109"/>
        <w:gridCol w:w="221"/>
        <w:gridCol w:w="526"/>
        <w:gridCol w:w="124"/>
        <w:gridCol w:w="109"/>
        <w:gridCol w:w="109"/>
        <w:gridCol w:w="109"/>
        <w:gridCol w:w="196"/>
        <w:gridCol w:w="57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Earned insurance premiums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769.5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investment income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142.3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w:t>
              <w:br/>
              <w: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161.4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 xml:space="preserve">Net realized and unrealized </w:t>
              <w:br/>
              <w:t xml:space="preserve">      investment gains (losses) </w:t>
              <w:br/>
              <w:t xml:space="preserve">      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income from </w:t>
              <w:br/>
              <w:t>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Commission and fee revenues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103.6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revenues</w:t>
            </w:r>
            <w:r>
              <w:rPr>
                <w:color w:val="000000"/>
              </w:rPr>
              <w:t xml:space="preserve"> </w:t>
            </w:r>
            <w:r>
              <w:rPr>
                <w:rFonts w:ascii="Arial Narrow;sans-serif" w:hAnsi="Arial Narrow;sans-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1,362.4</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Loss and loss adjustment expenses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382.7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Insurance acquisition expenses</w:t>
            </w:r>
            <w:r>
              <w:rPr>
                <w:color w:val="000000"/>
              </w:rPr>
              <w:t xml:space="preserve">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208.3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122.8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Amortization of other intangible assets </w:t>
            </w:r>
            <w:r>
              <w:rPr>
                <w:rFonts w:ascii="Arial Narrow;sans-serif" w:hAnsi="Arial Narrow;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General and administrative expenses </w:t>
            </w:r>
            <w:r>
              <w:rPr>
                <w:rFonts w:ascii="Arial Narrow;sans-serif" w:hAnsi="Arial Narrow;sans-serif"/>
                <w:b w:val="false"/>
                <w:color w:val="000000"/>
                <w:sz w:val="10"/>
              </w:rPr>
              <w:t>(3) (4)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278.5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Change in fair value of contingent </w:t>
              <w:br/>
              <w: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125.8 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105.0 </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1,131.9</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230.5</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Distinguished’s net investment income is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(3)</w:t>
      </w:r>
      <w:r>
        <w:rPr>
          <w:color w:val="000000"/>
        </w:rPr>
        <w:t xml:space="preserve"> </w:t>
      </w:r>
      <w:r>
        <w:rPr>
          <w:rFonts w:ascii="Arial Narrow;sans-serif" w:hAnsi="Arial Narrow;sans-serif"/>
          <w:b w:val="false"/>
          <w:color w:val="000000"/>
          <w:sz w:val="16"/>
        </w:rPr>
        <w:t xml:space="preserve">Other Operations’s loss and loss adjustment expenses and insurance acquisition expenses are included in general and administrative expenses in the consolidated statement of operations. </w:t>
      </w:r>
    </w:p>
    <w:p>
      <w:pPr>
        <w:pStyle w:val="TextBody"/>
        <w:bidi w:val="0"/>
        <w:spacing w:lineRule="auto" w:line="288" w:before="0" w:after="0"/>
        <w:jc w:val="left"/>
        <w:rPr/>
      </w:pPr>
      <w:r>
        <w:rPr>
          <w:rFonts w:ascii="Arial Narrow;sans-serif" w:hAnsi="Arial Narrow;sans-serif"/>
          <w:b w:val="false"/>
          <w:color w:val="000000"/>
          <w:sz w:val="10"/>
        </w:rPr>
        <w:t xml:space="preserve">(4) </w:t>
      </w:r>
      <w:r>
        <w:rPr>
          <w:rFonts w:ascii="Arial Narrow;sans-serif" w:hAnsi="Arial Narrow;sans-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(5) </w:t>
      </w:r>
      <w:r>
        <w:rPr>
          <w:rFonts w:ascii="Arial Narrow;sans-serif" w:hAnsi="Arial Narrow;sans-serif"/>
          <w:b w:val="false"/>
          <w:color w:val="000000"/>
          <w:sz w:val="16"/>
        </w:rPr>
        <w:t>Ark’s general and administrative expenses include $71.2 of other underwriting expenses.</w:t>
      </w:r>
    </w:p>
    <w:p>
      <w:pPr>
        <w:pStyle w:val="TextBody"/>
        <w:bidi w:val="0"/>
        <w:spacing w:before="0" w:after="0"/>
        <w:ind w:left="0" w:right="0" w:hanging="90"/>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YTD SEGMENT STATEMENTS OF PRE-TAX INCOME (LOSS)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10305" w:type="dxa"/>
        <w:jc w:val="left"/>
        <w:tblInd w:w="0" w:type="dxa"/>
        <w:tblLayout w:type="fixed"/>
        <w:tblCellMar>
          <w:top w:w="28" w:type="dxa"/>
          <w:left w:w="28" w:type="dxa"/>
          <w:bottom w:w="28" w:type="dxa"/>
          <w:right w:w="28" w:type="dxa"/>
        </w:tblCellMar>
      </w:tblPr>
      <w:tblGrid>
        <w:gridCol w:w="843"/>
        <w:gridCol w:w="201"/>
        <w:gridCol w:w="202"/>
        <w:gridCol w:w="109"/>
        <w:gridCol w:w="109"/>
        <w:gridCol w:w="109"/>
        <w:gridCol w:w="196"/>
        <w:gridCol w:w="556"/>
        <w:gridCol w:w="109"/>
        <w:gridCol w:w="109"/>
        <w:gridCol w:w="109"/>
        <w:gridCol w:w="109"/>
        <w:gridCol w:w="198"/>
        <w:gridCol w:w="472"/>
        <w:gridCol w:w="111"/>
        <w:gridCol w:w="109"/>
        <w:gridCol w:w="109"/>
        <w:gridCol w:w="109"/>
        <w:gridCol w:w="196"/>
        <w:gridCol w:w="466"/>
        <w:gridCol w:w="109"/>
        <w:gridCol w:w="109"/>
        <w:gridCol w:w="109"/>
        <w:gridCol w:w="109"/>
        <w:gridCol w:w="196"/>
        <w:gridCol w:w="466"/>
        <w:gridCol w:w="109"/>
        <w:gridCol w:w="109"/>
        <w:gridCol w:w="109"/>
        <w:gridCol w:w="109"/>
        <w:gridCol w:w="196"/>
        <w:gridCol w:w="406"/>
        <w:gridCol w:w="109"/>
        <w:gridCol w:w="109"/>
        <w:gridCol w:w="109"/>
        <w:gridCol w:w="109"/>
        <w:gridCol w:w="196"/>
        <w:gridCol w:w="466"/>
        <w:gridCol w:w="109"/>
        <w:gridCol w:w="109"/>
        <w:gridCol w:w="109"/>
        <w:gridCol w:w="109"/>
        <w:gridCol w:w="217"/>
        <w:gridCol w:w="533"/>
        <w:gridCol w:w="121"/>
        <w:gridCol w:w="109"/>
        <w:gridCol w:w="109"/>
        <w:gridCol w:w="109"/>
        <w:gridCol w:w="196"/>
        <w:gridCol w:w="55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WM 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Earned insurance premiums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Net investment income</w:t>
            </w:r>
            <w:r>
              <w:rPr>
                <w:color w:val="000000"/>
              </w:rPr>
              <w:t xml:space="preserve">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w:t>
            </w:r>
          </w:p>
          <w:p>
            <w:pPr>
              <w:pStyle w:val="TableContents"/>
              <w:bidi w:val="0"/>
              <w:spacing w:lineRule="auto" w:line="240" w:before="0" w:after="0"/>
              <w:jc w:val="left"/>
              <w:rPr/>
            </w:pPr>
            <w:r>
              <w:rPr>
                <w:color w:val="000000"/>
              </w:rPr>
              <w:t>   </w:t>
            </w:r>
            <w:r>
              <w:rPr>
                <w:rFonts w:ascii="Arial Narrow;sans-serif" w:hAnsi="Arial Narrow;sans-serif"/>
                <w:b w:val="false"/>
                <w:color w:val="000000"/>
                <w:sz w:val="20"/>
              </w:rPr>
              <w:t xml:space="preserve">investment gains (losses)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w:t>
              <w:br/>
              <w:t xml:space="preserve">   investment gains (losses) </w:t>
              <w:br/>
              <w:t xml:space="preserve">   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income from </w:t>
              <w:br/>
              <w:t>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Commission and fee revenues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revenues</w:t>
            </w:r>
            <w:r>
              <w:rPr>
                <w:color w:val="000000"/>
              </w:rPr>
              <w:t xml:space="preserve"> </w:t>
            </w:r>
            <w:r>
              <w:rPr>
                <w:rFonts w:ascii="Arial Narrow;sans-serif" w:hAnsi="Arial Narrow;sans-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98.7 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1,267.0 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Loss and loss adjustment expenses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Insurance acquisition expenses</w:t>
            </w:r>
            <w:r>
              <w:rPr>
                <w:color w:val="000000"/>
              </w:rPr>
              <w:t xml:space="preserve">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Amortization of other intangible assets </w:t>
            </w:r>
            <w:r>
              <w:rPr>
                <w:rFonts w:ascii="Arial Narrow;sans-serif" w:hAnsi="Arial Narrow;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General and administrative expenses </w:t>
            </w:r>
            <w:r>
              <w:rPr>
                <w:rFonts w:ascii="Arial Narrow;sans-serif" w:hAnsi="Arial Narrow;sans-serif"/>
                <w:b w:val="false"/>
                <w:color w:val="000000"/>
                <w:sz w:val="10"/>
              </w:rPr>
              <w:t>(3) (4)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Change in fair value of contingent </w:t>
            </w:r>
          </w:p>
          <w:p>
            <w:pPr>
              <w:pStyle w:val="TableContents"/>
              <w:bidi w:val="0"/>
              <w:spacing w:lineRule="auto" w:line="240" w:before="0" w:after="0"/>
              <w:ind w:left="0" w:right="0" w:hanging="180"/>
              <w:jc w:val="left"/>
              <w:rPr>
                <w:color w:val="000000"/>
              </w:rPr>
            </w:pPr>
            <w:r>
              <w:rPr>
                <w:color w:val="000000"/>
              </w:rPr>
              <w:t>      </w:t>
            </w:r>
            <w:r>
              <w:rPr>
                <w:rFonts w:ascii="Arial Narrow;sans-serif" w:hAnsi="Arial Narrow;sans-serif"/>
                <w:b w:val="false"/>
                <w:color w:val="000000"/>
                <w:sz w:val="20"/>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1,018.1 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Bamboo’s net investment income and net realized and unrealized investment gains (losses) are included in other revenues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(3)</w:t>
      </w:r>
      <w:r>
        <w:rPr>
          <w:color w:val="000000"/>
        </w:rPr>
        <w:t xml:space="preserve"> </w:t>
      </w:r>
      <w:r>
        <w:rPr>
          <w:rFonts w:ascii="Arial Narrow;sans-serif" w:hAnsi="Arial Narrow;sans-serif"/>
          <w:b w:val="false"/>
          <w:color w:val="000000"/>
          <w:sz w:val="16"/>
        </w:rPr>
        <w:t>Other Operations’s loss and loss adjustment expenses and insurance acquisition expenses are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(4) </w:t>
      </w:r>
      <w:r>
        <w:rPr>
          <w:rFonts w:ascii="Arial Narrow;sans-serif" w:hAnsi="Arial Narrow;sans-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Arial Narrow;sans-serif" w:hAnsi="Arial Narrow;sans-serif"/>
          <w:b w:val="false"/>
          <w:color w:val="000000"/>
          <w:sz w:val="10"/>
        </w:rPr>
        <w:t xml:space="preserve">(5) </w:t>
      </w:r>
      <w:r>
        <w:rPr>
          <w:rFonts w:ascii="Arial Narrow;sans-serif" w:hAnsi="Arial Narrow;sans-serif"/>
          <w:b w:val="false"/>
          <w:color w:val="000000"/>
          <w:sz w:val="16"/>
        </w:rPr>
        <w:t>Ark’s general and administrative expenses include $74.8 of other underwriting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18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in 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ind w:left="0" w:right="0" w:hanging="180"/>
        <w:jc w:val="center"/>
        <w:rPr/>
      </w:pPr>
      <w:r>
        <w:rPr/>
      </w:r>
    </w:p>
    <w:tbl>
      <w:tblPr>
        <w:tblW w:w="7914"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196"/>
        <w:gridCol w:w="571"/>
        <w:gridCol w:w="241"/>
        <w:gridCol w:w="109"/>
        <w:gridCol w:w="109"/>
        <w:gridCol w:w="109"/>
        <w:gridCol w:w="247"/>
        <w:gridCol w:w="455"/>
        <w:gridCol w:w="303"/>
        <w:gridCol w:w="109"/>
        <w:gridCol w:w="109"/>
        <w:gridCol w:w="109"/>
        <w:gridCol w:w="212"/>
        <w:gridCol w:w="441"/>
        <w:gridCol w:w="263"/>
        <w:gridCol w:w="109"/>
        <w:gridCol w:w="109"/>
        <w:gridCol w:w="109"/>
        <w:gridCol w:w="196"/>
        <w:gridCol w:w="571"/>
        <w:gridCol w:w="286"/>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2026</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777.5</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777.5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537.8</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537.4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375.4</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376.2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103.4</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103.7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Other underwriting expenses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36.3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36.3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315.4</w:t>
            </w: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315.6</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46.8</w:t>
            </w: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(12.5)</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27.5</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37.5</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underwriting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84.0</w:t>
            </w: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25.0</w:t>
            </w:r>
            <w:r>
              <w:rPr>
                <w:color w:val="000000"/>
              </w:rPr>
              <w:t> </w:t>
            </w:r>
          </w:p>
        </w:tc>
        <w:tc>
          <w:tcPr>
            <w:tcW w:w="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83.9</w:t>
            </w:r>
            <w:r>
              <w:rPr>
                <w:color w:val="000000"/>
              </w:rPr>
              <w:t>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117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Included within general and administrative expenses in the consolidated statement of operations.</w:t>
      </w:r>
      <w:r>
        <w:rPr>
          <w:color w:val="000000"/>
        </w:rPr>
        <w:t xml:space="preserve"> </w:t>
      </w:r>
    </w:p>
    <w:p>
      <w:pPr>
        <w:pStyle w:val="TextBody"/>
        <w:bidi w:val="0"/>
        <w:spacing w:before="0" w:after="0"/>
        <w:jc w:val="left"/>
        <w:rPr/>
      </w:pPr>
      <w:r>
        <w:rPr/>
      </w:r>
    </w:p>
    <w:tbl>
      <w:tblPr>
        <w:tblW w:w="7946"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196"/>
        <w:gridCol w:w="556"/>
        <w:gridCol w:w="241"/>
        <w:gridCol w:w="109"/>
        <w:gridCol w:w="109"/>
        <w:gridCol w:w="109"/>
        <w:gridCol w:w="218"/>
        <w:gridCol w:w="519"/>
        <w:gridCol w:w="268"/>
        <w:gridCol w:w="109"/>
        <w:gridCol w:w="109"/>
        <w:gridCol w:w="109"/>
        <w:gridCol w:w="196"/>
        <w:gridCol w:w="541"/>
        <w:gridCol w:w="241"/>
        <w:gridCol w:w="109"/>
        <w:gridCol w:w="109"/>
        <w:gridCol w:w="109"/>
        <w:gridCol w:w="196"/>
        <w:gridCol w:w="556"/>
        <w:gridCol w:w="286"/>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underwriting expenses</w:t>
            </w:r>
            <w:r>
              <w:rPr>
                <w:color w:val="000000"/>
              </w:rPr>
              <w:t xml:space="preserve">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2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43.7 </w:t>
            </w:r>
          </w:p>
        </w:tc>
        <w:tc>
          <w:tcPr>
            <w:tcW w:w="2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54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Included within general and administrative expenses in the consolidated statement of operations.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hanging="18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in 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8184"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196"/>
        <w:gridCol w:w="706"/>
        <w:gridCol w:w="241"/>
        <w:gridCol w:w="109"/>
        <w:gridCol w:w="109"/>
        <w:gridCol w:w="109"/>
        <w:gridCol w:w="238"/>
        <w:gridCol w:w="475"/>
        <w:gridCol w:w="292"/>
        <w:gridCol w:w="109"/>
        <w:gridCol w:w="109"/>
        <w:gridCol w:w="109"/>
        <w:gridCol w:w="212"/>
        <w:gridCol w:w="441"/>
        <w:gridCol w:w="263"/>
        <w:gridCol w:w="109"/>
        <w:gridCol w:w="109"/>
        <w:gridCol w:w="109"/>
        <w:gridCol w:w="196"/>
        <w:gridCol w:w="706"/>
        <w:gridCol w:w="286"/>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 2026</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1,868.4</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1,868.4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1,127.9</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1,127.5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746.5</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750.0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382.1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382.3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201.3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202.5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Other underwriting expenses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654.6</w:t>
            </w: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4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656.0</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51.2</w:t>
            </w: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w:t>
            </w:r>
            <w:r>
              <w:rPr>
                <w:color w:val="000000"/>
              </w:rPr>
              <w:t>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34.3</w:t>
            </w: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87.7</w:t>
            </w: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40.0</w:t>
            </w:r>
            <w:r>
              <w:rPr>
                <w:color w:val="000000"/>
              </w:rPr>
              <w:t> </w:t>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87.5</w:t>
            </w:r>
            <w:r>
              <w:rPr>
                <w:color w:val="000000"/>
              </w:rPr>
              <w:t>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bl>
    <w:p>
      <w:pPr>
        <w:pStyle w:val="TextBody"/>
        <w:bidi w:val="0"/>
        <w:spacing w:lineRule="auto" w:line="288" w:before="60" w:after="283"/>
        <w:ind w:left="0" w:right="0" w:firstLine="126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Included within general and administrative expenses in the consolidated statement of operations.</w:t>
      </w:r>
      <w:r>
        <w:rPr>
          <w:color w:val="000000"/>
        </w:rPr>
        <w:t xml:space="preserve"> </w:t>
      </w:r>
    </w:p>
    <w:p>
      <w:pPr>
        <w:pStyle w:val="TextBody"/>
        <w:bidi w:val="0"/>
        <w:spacing w:before="0" w:after="0"/>
        <w:ind w:left="0" w:right="0" w:firstLine="810"/>
        <w:jc w:val="left"/>
        <w:rPr/>
      </w:pPr>
      <w:r>
        <w:rPr/>
      </w:r>
    </w:p>
    <w:tbl>
      <w:tblPr>
        <w:tblW w:w="8216"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196"/>
        <w:gridCol w:w="691"/>
        <w:gridCol w:w="241"/>
        <w:gridCol w:w="109"/>
        <w:gridCol w:w="109"/>
        <w:gridCol w:w="109"/>
        <w:gridCol w:w="218"/>
        <w:gridCol w:w="519"/>
        <w:gridCol w:w="268"/>
        <w:gridCol w:w="109"/>
        <w:gridCol w:w="109"/>
        <w:gridCol w:w="109"/>
        <w:gridCol w:w="196"/>
        <w:gridCol w:w="541"/>
        <w:gridCol w:w="241"/>
        <w:gridCol w:w="109"/>
        <w:gridCol w:w="109"/>
        <w:gridCol w:w="109"/>
        <w:gridCol w:w="196"/>
        <w:gridCol w:w="691"/>
        <w:gridCol w:w="286"/>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 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WM </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Other underwriting expenses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Insurance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and loss adjustment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114.7 </w:t>
            </w:r>
          </w:p>
        </w:tc>
        <w:tc>
          <w:tcPr>
            <w:tcW w:w="2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120.4 </w:t>
            </w:r>
          </w:p>
        </w:tc>
        <w:tc>
          <w:tcPr>
            <w:tcW w:w="2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90.4 </w:t>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60" w:after="283"/>
        <w:ind w:left="0" w:right="0" w:firstLine="126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Included within general and administrative expenses in the consolidated statement of operations.</w:t>
      </w:r>
      <w:r>
        <w:rPr>
          <w:color w:val="000000"/>
        </w:rPr>
        <w:t xml:space="preserve"> </w:t>
      </w:r>
    </w:p>
    <w:p>
      <w:pPr>
        <w:pStyle w:val="TextBody"/>
        <w:bidi w:val="0"/>
        <w:spacing w:before="0" w:after="0"/>
        <w:ind w:left="0" w:right="0" w:firstLine="810"/>
        <w:jc w:val="center"/>
        <w:rPr/>
      </w:pPr>
      <w:r>
        <w:rPr/>
      </w:r>
    </w:p>
    <w:p>
      <w:pPr>
        <w:pStyle w:val="TextBody"/>
        <w:bidi w:val="0"/>
        <w:spacing w:before="0" w:after="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bookmarkStart w:id="0" w:name="i3caf040efd9b4c1cb78c40b28d61f65c_1153"/>
      <w:bookmarkStart w:id="1" w:name="i3caf040efd9b4c1cb78c40b28d61f65c_1152"/>
      <w:bookmarkEnd w:id="0"/>
      <w:bookmarkEnd w:id="1"/>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in 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26"/>
        <w:gridCol w:w="593"/>
        <w:gridCol w:w="597"/>
        <w:gridCol w:w="109"/>
        <w:gridCol w:w="109"/>
        <w:gridCol w:w="109"/>
        <w:gridCol w:w="335"/>
        <w:gridCol w:w="798"/>
        <w:gridCol w:w="186"/>
        <w:gridCol w:w="109"/>
        <w:gridCol w:w="109"/>
        <w:gridCol w:w="109"/>
        <w:gridCol w:w="331"/>
        <w:gridCol w:w="814"/>
        <w:gridCol w:w="184"/>
        <w:gridCol w:w="109"/>
        <w:gridCol w:w="109"/>
        <w:gridCol w:w="109"/>
        <w:gridCol w:w="321"/>
        <w:gridCol w:w="763"/>
        <w:gridCol w:w="178"/>
        <w:gridCol w:w="109"/>
        <w:gridCol w:w="109"/>
        <w:gridCol w:w="109"/>
        <w:gridCol w:w="317"/>
        <w:gridCol w:w="779"/>
        <w:gridCol w:w="176"/>
        <w:gridCol w:w="109"/>
        <w:gridCol w:w="109"/>
        <w:gridCol w:w="109"/>
        <w:gridCol w:w="290"/>
        <w:gridCol w:w="846"/>
        <w:gridCol w:w="236"/>
      </w:tblGrid>
      <w:tr>
        <w:trPr/>
        <w:tc>
          <w:tcPr>
            <w:tcW w:w="8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Twelve Months Ended June 30, </w:t>
              <w:br/>
              <w:t>2026</w:t>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investment income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19.0</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39.8</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79.8</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49.7</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91.7</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150.4</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68.9</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84.2 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131.9</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231.1</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19.2</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27.7</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11.9</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23.2</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46.9</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57.0</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108.7</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184.2</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(15.0)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(28.8)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(42.4)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42.0</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79.9</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141.8</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27.7</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28.8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42.4</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64.3</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76.8 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123.2</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212.4</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realized and unrealized investment (gains)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(49.7)</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(91.7)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(150.4)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Non-cash equity-based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w:t>
            </w: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15.7</w:t>
            </w:r>
            <w:r>
              <w:rPr>
                <w:color w:val="000000"/>
              </w:rPr>
              <w:t>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32.6</w:t>
            </w: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65.5</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3"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Adjustment to annualize partial year revenues from participation contracts acquired </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 to remove partial year revenues from participation contracts sold</w:t>
            </w:r>
            <w:r>
              <w:rPr>
                <w:color w:val="EE2724"/>
              </w:rPr>
              <w:t xml:space="preserve"> </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Annualized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68.5</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GAAP net investment income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79.8</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3"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Adjustment to annualize partial year revenues from participation contracts acquired</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3"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 to remove partial year revenues from participation contracts sold</w:t>
            </w:r>
            <w:r>
              <w:rPr>
                <w:color w:val="EE2724"/>
              </w:rPr>
              <w:t xml:space="preserve"> </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Annualized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82.8</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equity capital 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484.4</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capital drawn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358.3</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net capital drawn and invested </w:t>
            </w:r>
            <w:r>
              <w:rPr>
                <w:rFonts w:ascii="Arial Narrow;sans-serif" w:hAnsi="Arial Narrow;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842.7</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net investment income revenue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9.5%</w:t>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revenue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9.8%</w:t>
            </w:r>
          </w:p>
        </w:tc>
      </w:tr>
      <w:tr>
        <w:trPr/>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Return on equity</w:t>
            </w:r>
            <w:r>
              <w:rPr>
                <w:color w:val="000000"/>
              </w:rPr>
              <w:t xml:space="preserve">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14.7%</w:t>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Net investment income includes revenues from participation contracts and income from short-term and other long-term investments.</w:t>
      </w:r>
    </w:p>
    <w:p>
      <w:pPr>
        <w:pStyle w:val="TextBody"/>
        <w:bidi w:val="0"/>
        <w:spacing w:lineRule="auto" w:line="288" w:before="0" w:after="0"/>
        <w:ind w:left="0" w:right="0" w:hanging="18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Total net capital drawn represents equity and debt capital drawn and invested less cumulative distributions.</w:t>
      </w:r>
    </w:p>
    <w:p>
      <w:pPr>
        <w:pStyle w:val="TextBody"/>
        <w:bidi w:val="0"/>
        <w:spacing w:lineRule="auto" w:line="288"/>
        <w:ind w:left="0" w:right="0" w:hanging="180"/>
        <w:jc w:val="left"/>
        <w:rPr/>
      </w:pPr>
      <w:r>
        <w:rPr>
          <w:rFonts w:ascii="Arial Narrow;sans-serif" w:hAnsi="Arial Narrow;sans-serif"/>
          <w:b w:val="false"/>
          <w:color w:val="000000"/>
          <w:sz w:val="10"/>
        </w:rPr>
        <w:t xml:space="preserve">(3) </w:t>
      </w:r>
      <w:r>
        <w:rPr>
          <w:rFonts w:ascii="Arial Narrow;sans-serif" w:hAnsi="Arial Narrow;sans-serif"/>
          <w:b w:val="false"/>
          <w:color w:val="000000"/>
          <w:sz w:val="16"/>
        </w:rPr>
        <w:t>Return on equity is calculated based on the GAAP net income (loss) divided by the average of Kudu’s beginning and ending GAAP equity.</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hanging="9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9710" w:type="dxa"/>
        <w:jc w:val="center"/>
        <w:tblInd w:w="0" w:type="dxa"/>
        <w:tblLayout w:type="fixed"/>
        <w:tblCellMar>
          <w:top w:w="28" w:type="dxa"/>
          <w:left w:w="28" w:type="dxa"/>
          <w:bottom w:w="28" w:type="dxa"/>
          <w:right w:w="28" w:type="dxa"/>
        </w:tblCellMar>
      </w:tblPr>
      <w:tblGrid>
        <w:gridCol w:w="1488"/>
        <w:gridCol w:w="1310"/>
        <w:gridCol w:w="1327"/>
        <w:gridCol w:w="109"/>
        <w:gridCol w:w="109"/>
        <w:gridCol w:w="109"/>
        <w:gridCol w:w="196"/>
        <w:gridCol w:w="706"/>
        <w:gridCol w:w="109"/>
        <w:gridCol w:w="109"/>
        <w:gridCol w:w="109"/>
        <w:gridCol w:w="109"/>
        <w:gridCol w:w="196"/>
        <w:gridCol w:w="691"/>
        <w:gridCol w:w="109"/>
        <w:gridCol w:w="109"/>
        <w:gridCol w:w="109"/>
        <w:gridCol w:w="109"/>
        <w:gridCol w:w="196"/>
        <w:gridCol w:w="706"/>
        <w:gridCol w:w="109"/>
        <w:gridCol w:w="109"/>
        <w:gridCol w:w="109"/>
        <w:gridCol w:w="109"/>
        <w:gridCol w:w="196"/>
        <w:gridCol w:w="691"/>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Beginning balance of Kudu’s participation contracts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1,352.2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1,285.0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 Narrow;sans-serif" w:hAnsi="Arial Narrow;sans-serif"/>
                <w:b w:val="false"/>
                <w:color w:val="000000"/>
                <w:sz w:val="20"/>
              </w:rPr>
              <w:t xml:space="preserve">Contributions to participation contracts </w:t>
            </w:r>
            <w:r>
              <w:rPr>
                <w:rFonts w:ascii="Arial Narrow;sans-serif" w:hAnsi="Arial Narrow;sans-serif"/>
                <w:b w:val="false"/>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 Narrow;sans-serif" w:hAnsi="Arial Narrow;sans-serif"/>
                <w:b w:val="false"/>
                <w:color w:val="000000"/>
                <w:sz w:val="20"/>
              </w:rPr>
              <w:t xml:space="preserve">Proceeds from participation contracts sold </w:t>
            </w:r>
            <w:r>
              <w:rPr>
                <w:rFonts w:ascii="Arial Narrow;sans-serif" w:hAnsi="Arial Narrow;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realized and unrealized investment gains (losses) on</w:t>
            </w:r>
          </w:p>
          <w:p>
            <w:pPr>
              <w:pStyle w:val="TableContents"/>
              <w:bidi w:val="0"/>
              <w:spacing w:lineRule="auto" w:line="240" w:before="0" w:after="0"/>
              <w:jc w:val="left"/>
              <w:rPr/>
            </w:pPr>
            <w:r>
              <w:rPr>
                <w:color w:val="000000"/>
              </w:rPr>
              <w:t>   </w:t>
            </w:r>
            <w:r>
              <w:rPr>
                <w:rFonts w:ascii="Arial Narrow;sans-serif" w:hAnsi="Arial Narrow;sans-serif"/>
                <w:b w:val="false"/>
                <w:color w:val="000000"/>
                <w:sz w:val="20"/>
              </w:rPr>
              <w:t>participation contracts sold and pending sale</w:t>
            </w:r>
            <w:r>
              <w:rPr>
                <w:color w:val="000000"/>
              </w:rPr>
              <w:t xml:space="preserve"> </w:t>
            </w:r>
            <w:r>
              <w:rPr>
                <w:rFonts w:ascii="Arial Narrow;sans-serif" w:hAnsi="Arial Narrow;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unrealized investment gains (losses) on participation</w:t>
            </w:r>
          </w:p>
          <w:p>
            <w:pPr>
              <w:pStyle w:val="TableContents"/>
              <w:bidi w:val="0"/>
              <w:spacing w:lineRule="auto" w:line="240" w:before="0" w:after="0"/>
              <w:jc w:val="left"/>
              <w:rPr/>
            </w:pPr>
            <w:r>
              <w:rPr>
                <w:color w:val="000000"/>
              </w:rPr>
              <w:t>   </w:t>
            </w:r>
            <w:r>
              <w:rPr>
                <w:rFonts w:ascii="Arial Narrow;sans-serif" w:hAnsi="Arial Narrow;sans-serif"/>
                <w:b w:val="false"/>
                <w:color w:val="000000"/>
                <w:sz w:val="20"/>
              </w:rPr>
              <w:t xml:space="preserve">contracts - all other </w:t>
            </w:r>
            <w:r>
              <w:rPr>
                <w:rFonts w:ascii="Arial Narrow;sans-serif" w:hAnsi="Arial Narrow;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Ending balance of Kudu’s participation contracts</w:t>
            </w:r>
            <w:r>
              <w:rPr>
                <w:color w:val="000000"/>
              </w:rPr>
              <w:t xml:space="preserve"> </w:t>
            </w:r>
            <w:r>
              <w:rPr>
                <w:rFonts w:ascii="Arial Narrow;sans-serif" w:hAnsi="Arial Narrow;sans-serif"/>
                <w:b w:val="false"/>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1,344.6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1,344.6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As of March 31, 2026, March 31, 2025, December 31, 2025 and 2024, Kudu’s other long-term investments also include $6.6, $5.8, $6.4 and $5.6 related to a private debt instrument.</w:t>
      </w:r>
    </w:p>
    <w:p>
      <w:pPr>
        <w:pStyle w:val="TextBody"/>
        <w:bidi w:val="0"/>
        <w:spacing w:lineRule="auto" w:line="288" w:before="0" w:after="0"/>
        <w:ind w:left="0" w:right="0" w:hanging="18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 xml:space="preserve">Includes contributions to new and existing participation contracts. </w:t>
      </w:r>
    </w:p>
    <w:p>
      <w:pPr>
        <w:pStyle w:val="TextBody"/>
        <w:bidi w:val="0"/>
        <w:spacing w:lineRule="auto" w:line="288" w:before="0" w:after="0"/>
        <w:ind w:left="0" w:right="0" w:hanging="180"/>
        <w:jc w:val="left"/>
        <w:rPr/>
      </w:pPr>
      <w:r>
        <w:rPr>
          <w:rFonts w:ascii="Arial Narrow;sans-serif" w:hAnsi="Arial Narrow;sans-serif"/>
          <w:b w:val="false"/>
          <w:color w:val="000000"/>
          <w:sz w:val="10"/>
        </w:rPr>
        <w:t xml:space="preserve">(3) </w:t>
      </w:r>
      <w:r>
        <w:rPr>
          <w:rFonts w:ascii="Arial Narrow;sans-serif" w:hAnsi="Arial Narrow;sans-serif"/>
          <w:b w:val="false"/>
          <w:color w:val="000000"/>
          <w:sz w:val="16"/>
        </w:rPr>
        <w:t>Includes $3.5 of non-cash contributions to (proceeds from) participation contracts for the three and six months ended June 30, 2026.</w:t>
      </w:r>
    </w:p>
    <w:p>
      <w:pPr>
        <w:pStyle w:val="TextBody"/>
        <w:bidi w:val="0"/>
        <w:spacing w:lineRule="auto" w:line="288" w:before="0" w:after="0"/>
        <w:ind w:left="0" w:right="0" w:hanging="180"/>
        <w:jc w:val="left"/>
        <w:rPr/>
      </w:pPr>
      <w:r>
        <w:rPr>
          <w:rFonts w:ascii="Arial Narrow;sans-serif" w:hAnsi="Arial Narrow;sans-serif"/>
          <w:b w:val="false"/>
          <w:color w:val="000000"/>
          <w:sz w:val="10"/>
        </w:rPr>
        <w:t>(4)</w:t>
      </w:r>
      <w:r>
        <w:rPr>
          <w:color w:val="000000"/>
        </w:rPr>
        <w:t xml:space="preserve"> </w:t>
      </w:r>
      <w:r>
        <w:rPr>
          <w:rFonts w:ascii="Arial Narrow;sans-serif" w:hAnsi="Arial Narrow;sans-serif"/>
          <w:b w:val="false"/>
          <w:color w:val="000000"/>
          <w:sz w:val="16"/>
        </w:rPr>
        <w:t>Includes net realized and unrealized investment gains (losses) recognized from participation contracts beginning in the quarter a contract is classified as pending sale.</w:t>
      </w:r>
    </w:p>
    <w:p>
      <w:pPr>
        <w:pStyle w:val="TextBody"/>
        <w:bidi w:val="0"/>
        <w:spacing w:lineRule="auto" w:line="288" w:before="0" w:after="0"/>
        <w:jc w:val="left"/>
        <w:rPr/>
      </w:pPr>
      <w:r>
        <w:rPr>
          <w:rFonts w:ascii="Arial Narrow;sans-serif" w:hAnsi="Arial Narrow;sans-serif"/>
          <w:b w:val="false"/>
          <w:color w:val="000000"/>
          <w:sz w:val="10"/>
        </w:rPr>
        <w:t>(5)</w:t>
      </w:r>
      <w:r>
        <w:rPr>
          <w:color w:val="000000"/>
        </w:rPr>
        <w:t xml:space="preserve"> </w:t>
      </w:r>
      <w:r>
        <w:rPr>
          <w:rFonts w:ascii="Arial Narrow;sans-serif" w:hAnsi="Arial Narrow;sans-serif"/>
          <w:b w:val="false"/>
          <w:color w:val="000000"/>
          <w:sz w:val="16"/>
        </w:rPr>
        <w:t>Includes net unrealized investment gains (losses) recognized from (i) ongoing participation contracts and (ii) participation contracts prior to classification as pending sale.</w:t>
      </w:r>
    </w:p>
    <w:p>
      <w:pPr>
        <w:pStyle w:val="TextBody"/>
        <w:bidi w:val="0"/>
        <w:spacing w:lineRule="auto" w:line="288" w:before="0" w:after="0"/>
        <w:ind w:left="0" w:right="0" w:hanging="90"/>
        <w:jc w:val="left"/>
        <w:rPr/>
      </w:pPr>
      <w:r>
        <w:rPr>
          <w:rFonts w:ascii="Arial Narrow;sans-serif" w:hAnsi="Arial Narrow;sans-serif"/>
          <w:b w:val="false"/>
          <w:color w:val="000000"/>
          <w:sz w:val="10"/>
        </w:rPr>
        <w:t>(6)</w:t>
      </w:r>
      <w:r>
        <w:rPr>
          <w:color w:val="000000"/>
        </w:rPr>
        <w:t xml:space="preserve"> </w:t>
      </w:r>
      <w:r>
        <w:rPr>
          <w:rFonts w:ascii="Arial Narrow;sans-serif" w:hAnsi="Arial Narrow;sans-serif"/>
          <w:b w:val="false"/>
          <w:color w:val="000000"/>
          <w:sz w:val="16"/>
        </w:rPr>
        <w:t>As of June 30, 2025, Kudu’s other long-term investments also include $6.1 related to a private debt instrument.</w:t>
      </w:r>
    </w:p>
    <w:p>
      <w:pPr>
        <w:pStyle w:val="TextBody"/>
        <w:bidi w:val="0"/>
        <w:spacing w:before="0" w:after="0"/>
        <w:ind w:left="0" w:right="0" w:hanging="90"/>
        <w:jc w:val="left"/>
        <w:rPr/>
      </w:pPr>
      <w:r>
        <w:rPr/>
      </w:r>
    </w:p>
    <w:p>
      <w:pPr>
        <w:pStyle w:val="TextBody"/>
        <w:bidi w:val="0"/>
        <w:spacing w:before="120" w:after="283"/>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in 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734" w:type="dxa"/>
        <w:jc w:val="center"/>
        <w:tblInd w:w="0" w:type="dxa"/>
        <w:tblLayout w:type="fixed"/>
        <w:tblCellMar>
          <w:top w:w="28" w:type="dxa"/>
          <w:left w:w="28" w:type="dxa"/>
          <w:bottom w:w="28" w:type="dxa"/>
          <w:right w:w="28" w:type="dxa"/>
        </w:tblCellMar>
      </w:tblPr>
      <w:tblGrid>
        <w:gridCol w:w="1641"/>
        <w:gridCol w:w="1447"/>
        <w:gridCol w:w="1456"/>
        <w:gridCol w:w="109"/>
        <w:gridCol w:w="109"/>
        <w:gridCol w:w="109"/>
        <w:gridCol w:w="280"/>
        <w:gridCol w:w="156"/>
        <w:gridCol w:w="514"/>
        <w:gridCol w:w="138"/>
        <w:gridCol w:w="138"/>
        <w:gridCol w:w="138"/>
        <w:gridCol w:w="248"/>
        <w:gridCol w:w="174"/>
        <w:gridCol w:w="457"/>
        <w:gridCol w:w="109"/>
        <w:gridCol w:w="109"/>
        <w:gridCol w:w="109"/>
        <w:gridCol w:w="257"/>
        <w:gridCol w:w="179"/>
        <w:gridCol w:w="510"/>
        <w:gridCol w:w="127"/>
        <w:gridCol w:w="127"/>
        <w:gridCol w:w="127"/>
        <w:gridCol w:w="241"/>
        <w:gridCol w:w="180"/>
        <w:gridCol w:w="545"/>
      </w:tblGrid>
      <w:tr>
        <w:trPr/>
        <w:tc>
          <w:tcPr>
            <w:tcW w:w="16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620" w:type="dxa"/>
            <w:gridSpan w:val="1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Par value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Par value of primary market policies assumed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741.0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1,159.4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1,167.1</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Par value of secondary market policies assumed </w:t>
            </w:r>
            <w:r>
              <w:rPr>
                <w:rFonts w:ascii="Arial Narrow;sans-serif" w:hAnsi="Arial Narrow;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76.6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175.8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190.7</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par value of policies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817.6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8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1,335.2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1,357.8</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Reinsurance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8.9</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written premiums from secondary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Total 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19.3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Total gross written premiums net of 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8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13.6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15.4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Gross pricing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120</w:t>
            </w:r>
            <w:r>
              <w:rPr>
                <w:color w:val="000000"/>
              </w:rPr>
              <w:t>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w:t>
            </w:r>
            <w:r>
              <w:rPr>
                <w:color w:val="000000"/>
              </w:rPr>
              <w:t> </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Gross pricing from secondary market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274</w:t>
            </w:r>
            <w:r>
              <w:rPr>
                <w:color w:val="000000"/>
              </w:rPr>
              <w:t>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277 </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358</w:t>
            </w:r>
            <w:r>
              <w:rPr>
                <w:color w:val="000000"/>
              </w:rPr>
              <w:t> </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 xml:space="preserve">Total gross pricing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135</w:t>
            </w:r>
            <w:r>
              <w:rPr>
                <w:color w:val="000000"/>
              </w:rPr>
              <w:t>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145</w:t>
            </w:r>
            <w:r>
              <w:rPr>
                <w:color w:val="000000"/>
              </w:rPr>
              <w:t> </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pricing net of 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w:t>
            </w:r>
            <w:r>
              <w:rPr>
                <w:color w:val="000000"/>
              </w:rPr>
              <w:t> </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144 </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102</w:t>
            </w:r>
            <w:r>
              <w:rPr>
                <w:color w:val="000000"/>
              </w:rPr>
              <w:t> </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bps</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For capital appreciation bonds, par is adjusted to the estimated equivalent par value for current interest paying bonds.</w:t>
      </w:r>
    </w:p>
    <w:p>
      <w:pPr>
        <w:pStyle w:val="TextBody"/>
        <w:bidi w:val="0"/>
        <w:spacing w:before="0" w:after="0"/>
        <w:jc w:val="left"/>
        <w:rPr/>
      </w:pPr>
      <w:r>
        <w:rPr/>
      </w:r>
    </w:p>
    <w:p>
      <w:pPr>
        <w:pStyle w:val="TextBody"/>
        <w:bidi w:val="0"/>
        <w:spacing w:before="0" w:after="0"/>
        <w:ind w:left="0" w:right="0" w:hanging="180"/>
        <w:jc w:val="center"/>
        <w:rPr/>
      </w:pPr>
      <w:r>
        <w:rPr/>
      </w:r>
    </w:p>
    <w:p>
      <w:pPr>
        <w:pStyle w:val="TextBody"/>
        <w:bidi w:val="0"/>
        <w:spacing w:before="0" w:after="0"/>
        <w:jc w:val="center"/>
        <w:rPr/>
      </w:pPr>
      <w:r>
        <w:rPr/>
      </w:r>
    </w:p>
    <w:tbl>
      <w:tblPr>
        <w:tblW w:w="9535" w:type="dxa"/>
        <w:jc w:val="center"/>
        <w:tblInd w:w="0" w:type="dxa"/>
        <w:tblLayout w:type="fixed"/>
        <w:tblCellMar>
          <w:top w:w="28" w:type="dxa"/>
          <w:left w:w="28" w:type="dxa"/>
          <w:bottom w:w="28" w:type="dxa"/>
          <w:right w:w="28" w:type="dxa"/>
        </w:tblCellMar>
      </w:tblPr>
      <w:tblGrid>
        <w:gridCol w:w="1484"/>
        <w:gridCol w:w="1307"/>
        <w:gridCol w:w="1318"/>
        <w:gridCol w:w="109"/>
        <w:gridCol w:w="109"/>
        <w:gridCol w:w="109"/>
        <w:gridCol w:w="228"/>
        <w:gridCol w:w="665"/>
        <w:gridCol w:w="127"/>
        <w:gridCol w:w="109"/>
        <w:gridCol w:w="109"/>
        <w:gridCol w:w="109"/>
        <w:gridCol w:w="109"/>
        <w:gridCol w:w="109"/>
        <w:gridCol w:w="109"/>
        <w:gridCol w:w="109"/>
        <w:gridCol w:w="109"/>
        <w:gridCol w:w="109"/>
        <w:gridCol w:w="314"/>
        <w:gridCol w:w="891"/>
        <w:gridCol w:w="174"/>
        <w:gridCol w:w="109"/>
        <w:gridCol w:w="109"/>
        <w:gridCol w:w="109"/>
        <w:gridCol w:w="232"/>
        <w:gridCol w:w="659"/>
        <w:gridCol w:w="129"/>
        <w:gridCol w:w="109"/>
        <w:gridCol w:w="109"/>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As of </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331.8</w:t>
            </w:r>
            <w:r>
              <w:rPr>
                <w:color w:val="000000"/>
              </w:rPr>
              <w:t>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307.9 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98.5</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Unearned premiums, net of 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6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233.3</w:t>
            </w:r>
            <w:r>
              <w:rPr>
                <w:color w:val="000000"/>
              </w:rPr>
              <w:t>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231.0 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217.5 </w:t>
            </w:r>
          </w:p>
        </w:tc>
        <w:tc>
          <w:tcPr>
            <w:tcW w:w="1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00" w:after="283"/>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100" w:after="283"/>
        <w:jc w:val="center"/>
        <w:rPr/>
      </w:pPr>
      <w:r>
        <w:rPr/>
      </w:r>
    </w:p>
    <w:tbl>
      <w:tblPr>
        <w:tblW w:w="8839" w:type="dxa"/>
        <w:jc w:val="center"/>
        <w:tblInd w:w="0" w:type="dxa"/>
        <w:tblLayout w:type="fixed"/>
        <w:tblCellMar>
          <w:top w:w="28" w:type="dxa"/>
          <w:left w:w="28" w:type="dxa"/>
          <w:bottom w:w="28" w:type="dxa"/>
          <w:right w:w="28" w:type="dxa"/>
        </w:tblCellMar>
      </w:tblPr>
      <w:tblGrid>
        <w:gridCol w:w="1249"/>
        <w:gridCol w:w="1099"/>
        <w:gridCol w:w="1101"/>
        <w:gridCol w:w="621"/>
        <w:gridCol w:w="1524"/>
        <w:gridCol w:w="345"/>
        <w:gridCol w:w="109"/>
        <w:gridCol w:w="109"/>
        <w:gridCol w:w="109"/>
        <w:gridCol w:w="576"/>
        <w:gridCol w:w="1414"/>
        <w:gridCol w:w="320"/>
        <w:gridCol w:w="109"/>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Distinguished</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Commission and fee revenues</w:t>
            </w:r>
          </w:p>
        </w:tc>
        <w:tc>
          <w:tcPr>
            <w:tcW w:w="6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56.6</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96.2</w:t>
            </w:r>
            <w:r>
              <w:rPr>
                <w:color w:val="000000"/>
              </w:rPr>
              <w:t>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revenues</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57.4</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97.7</w:t>
            </w:r>
            <w:r>
              <w:rPr>
                <w:color w:val="000000"/>
              </w:rPr>
              <w:t>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Broker commission expenses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23.3</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40.5</w:t>
            </w:r>
            <w:r>
              <w:rPr>
                <w:color w:val="000000"/>
              </w:rPr>
              <w:t>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41.0</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78.2</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3.6</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67.9</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125.8</w:t>
            </w:r>
            <w:r>
              <w:rPr>
                <w:color w:val="000000"/>
              </w:rPr>
              <w:t>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pre-tax income (loss)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(10.5)</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(28.1)</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net income (loss)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(9.8)</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(24.2)</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Exclude:</w:t>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loss, GrowthCo</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10.4</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18.2</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ScaleCo net income (loss)</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(6.0)</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3.6</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(3.9)</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other intangible assets</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13.8</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ScaleCo EBITDA</w:t>
            </w:r>
          </w:p>
        </w:tc>
        <w:tc>
          <w:tcPr>
            <w:tcW w:w="21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w:t>
            </w:r>
            <w:r>
              <w:rPr>
                <w:color w:val="000000"/>
              </w:rPr>
              <w:t>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w:t>
            </w:r>
            <w:r>
              <w:rPr>
                <w:color w:val="000000"/>
              </w:rPr>
              <w:t>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Exclude:</w:t>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Non-cash equity-based compensation expense</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expenses</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Legal settlement expenses</w:t>
            </w:r>
          </w:p>
        </w:tc>
        <w:tc>
          <w:tcPr>
            <w:tcW w:w="21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ScaleCo adjusted EBITDA</w:t>
            </w:r>
          </w:p>
        </w:tc>
        <w:tc>
          <w:tcPr>
            <w:tcW w:w="6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5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12.4</w:t>
            </w:r>
            <w:r>
              <w:rPr>
                <w:color w:val="000000"/>
              </w:rPr>
              <w:t> </w:t>
            </w:r>
          </w:p>
        </w:tc>
        <w:tc>
          <w:tcPr>
            <w:tcW w:w="3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w:t>
            </w:r>
            <w:r>
              <w:rPr>
                <w:color w:val="000000"/>
              </w:rPr>
              <w:t> </w:t>
            </w:r>
          </w:p>
        </w:tc>
        <w:tc>
          <w:tcPr>
            <w:tcW w:w="3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2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283"/>
        <w:ind w:left="0" w:right="0" w:firstLine="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Arial Narrow;sans-serif" w:hAnsi="Arial Narrow;sans-serif"/>
          <w:b/>
          <w:color w:val="000000"/>
          <w:sz w:val="18"/>
        </w:rPr>
      </w:pPr>
      <w:r>
        <w:rPr>
          <w:rFonts w:ascii="Arial Narrow;sans-serif" w:hAnsi="Arial Narrow;sans-serif"/>
          <w:b/>
          <w:color w:val="000000"/>
          <w:sz w:val="18"/>
        </w:rPr>
        <w:t>WHITE MOUNTAINS INSURANCE GROUP, LTD.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SELECTED FINANCIAL DATA (CONTINUED)</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(millions)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4"/>
        <w:gridCol w:w="465"/>
        <w:gridCol w:w="470"/>
        <w:gridCol w:w="109"/>
        <w:gridCol w:w="109"/>
        <w:gridCol w:w="109"/>
        <w:gridCol w:w="336"/>
        <w:gridCol w:w="801"/>
        <w:gridCol w:w="187"/>
        <w:gridCol w:w="109"/>
        <w:gridCol w:w="109"/>
        <w:gridCol w:w="109"/>
        <w:gridCol w:w="333"/>
        <w:gridCol w:w="817"/>
        <w:gridCol w:w="185"/>
        <w:gridCol w:w="109"/>
        <w:gridCol w:w="109"/>
        <w:gridCol w:w="109"/>
        <w:gridCol w:w="322"/>
        <w:gridCol w:w="765"/>
        <w:gridCol w:w="178"/>
        <w:gridCol w:w="109"/>
        <w:gridCol w:w="109"/>
        <w:gridCol w:w="109"/>
        <w:gridCol w:w="299"/>
        <w:gridCol w:w="872"/>
        <w:gridCol w:w="166"/>
        <w:gridCol w:w="109"/>
        <w:gridCol w:w="109"/>
        <w:gridCol w:w="109"/>
        <w:gridCol w:w="275"/>
        <w:gridCol w:w="803"/>
        <w:gridCol w:w="552"/>
      </w:tblGrid>
      <w:tr>
        <w:trPr/>
        <w:tc>
          <w:tcPr>
            <w:tcW w:w="74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u w:val="single"/>
              </w:rPr>
              <w:t xml:space="preserve">WTM Partners </w:t>
            </w:r>
            <w:r>
              <w:rPr>
                <w:rFonts w:ascii="Arial Narrow;sans-serif" w:hAnsi="Arial Narrow;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Twelve Months Ended June 30, 2026</w:t>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92.8</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136.5</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237.8</w:t>
            </w:r>
            <w:r>
              <w:rPr>
                <w:color w:val="000000"/>
              </w:rPr>
              <w:t> </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92.8</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136.5</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237.8</w:t>
            </w:r>
            <w:r>
              <w:rPr>
                <w:color w:val="000000"/>
              </w:rPr>
              <w:t> </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108.7</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194.6</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15.5</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25.3</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40.8</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88.7</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134.9</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236.9</w:t>
            </w:r>
            <w:r>
              <w:rPr>
                <w:color w:val="000000"/>
              </w:rPr>
              <w:t> </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4.1</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w:t>
            </w:r>
          </w:p>
        </w:tc>
        <w:tc>
          <w:tcPr>
            <w:tcW w:w="552"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GAAP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6.2</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255"/>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w:t>
            </w:r>
            <w:r>
              <w:rPr>
                <w:color w:val="000000"/>
              </w:rPr>
              <w:t>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w:t>
            </w:r>
            <w:r>
              <w:rPr>
                <w:color w:val="000000"/>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w:t>
            </w:r>
            <w:r>
              <w:rPr>
                <w:color w:val="000000"/>
              </w:rPr>
              <w:t> </w:t>
            </w:r>
          </w:p>
        </w:tc>
        <w:tc>
          <w:tcPr>
            <w:tcW w:w="5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4.6</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and integration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2.7 </w:t>
            </w:r>
          </w:p>
        </w:tc>
        <w:tc>
          <w:tcPr>
            <w:tcW w:w="1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w:t>
            </w:r>
            <w:r>
              <w:rPr>
                <w:color w:val="000000"/>
              </w:rPr>
              <w:t>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10.5</w:t>
            </w:r>
            <w:r>
              <w:rPr>
                <w:color w:val="000000"/>
              </w:rPr>
              <w:t>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15.1</w:t>
            </w:r>
            <w:r>
              <w:rPr>
                <w:color w:val="000000"/>
              </w:rPr>
              <w:t> </w:t>
            </w:r>
          </w:p>
        </w:tc>
        <w:tc>
          <w:tcPr>
            <w:tcW w:w="5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Includes results for periods subsequent to the acquisitions of Enterprise Solutions on April 1, 2025, Basesix on April 1, 2026 and Hawkeye Electric on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Regulation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earnings release includes non-GAAP financial measures that have been reconciled from their most comparable GAAP financial measures.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Ark’s tangible book value and growth in tangible book value are non-GAAP financial measures. </w:t>
        <w:br/>
        <w:br/>
        <w:t xml:space="preserve">Tangible book value is a non-GAAP financial measure derived by adjusting GAAP book value to exclude (i) goodwill and other intangible assets, (ii) the deferred tax liability on other intangible assets and (iii) the contingent consideration liability. The contingent consideration liability represents the estimated fair value of the additional shares that could be earned by management rollover shareholders if and to the extent that White Mountains achieves certain multiple of invested capital return thresholds. If earned, these additional shares would result in a reallocation of economics among Ark’s shareholders, which is reflected in the fair value of the contingent consideration liability recorded by White Mountains, but would have no impact on Ark’s stand-alone book value or tangible book value. </w:t>
        <w:br/>
        <w:br/>
        <w:t xml:space="preserve">Growth in tangible book value equals the change in tangible book value plus dividends for the period divided by beginning tangible book value. </w:t>
        <w:br/>
        <w:br/>
        <w:t>White Mountains believes that these non-GAAP financial measures are useful to management and investors in evaluating Ark’s enterprise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reconciliation of Ark’s GAAP equity to tangible book value.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6"/>
        <w:gridCol w:w="1491"/>
        <w:gridCol w:w="1493"/>
        <w:gridCol w:w="109"/>
        <w:gridCol w:w="109"/>
        <w:gridCol w:w="109"/>
        <w:gridCol w:w="211"/>
        <w:gridCol w:w="781"/>
        <w:gridCol w:w="301"/>
        <w:gridCol w:w="109"/>
        <w:gridCol w:w="109"/>
        <w:gridCol w:w="109"/>
        <w:gridCol w:w="211"/>
        <w:gridCol w:w="766"/>
        <w:gridCol w:w="271"/>
        <w:gridCol w:w="109"/>
        <w:gridCol w:w="109"/>
        <w:gridCol w:w="109"/>
        <w:gridCol w:w="274"/>
        <w:gridCol w:w="1000"/>
        <w:gridCol w:w="353"/>
        <w:gridCol w:w="109"/>
        <w:gridCol w:w="157"/>
      </w:tblGrid>
      <w:tr>
        <w:trPr/>
        <w:tc>
          <w:tcPr>
            <w:tcW w:w="180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GAAP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1,615.0</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3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goodwill and other intangible assets, net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Plus: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tangible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1,736.4</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3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tangible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tangible book value, including dividends: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Amounts are net of deferred tax liabilities related to other intangible assets of $43.9.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Kudu’s EBITDA, adjusted EBITDA, annualized adjusted EBITDA, annualized revenue and cash revenue yield are non-GAAP financial measures.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EBITDA is a non-GAAP financial measure that adds back interest expense on debt, income tax (expense) benefit, depreciation and amortization of other intangible assets to GAAP net income (loss). </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is a non-GAAP financial measure that excludes certain other items in GAAP net income (loss) in addition to those added back to calculate EBITDA. The items relate to (i) net realized and unrealized investment gains (losses) on Kudu’s revenue and earnings participation contracts, (ii) non-cash equity-based compensation expense and (iii) transaction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Net realized and unrealized investment gains (losses)</w:t>
      </w:r>
      <w:r>
        <w:rPr>
          <w:color w:val="000000"/>
        </w:rPr>
        <w:t xml:space="preserve"> </w:t>
      </w:r>
      <w:r>
        <w:rPr>
          <w:rFonts w:ascii="Times New Roman;serif" w:hAnsi="Times New Roman;serif"/>
          <w:b w:val="false"/>
          <w:color w:val="000000"/>
          <w:sz w:val="22"/>
        </w:rPr>
        <w:t>- Represents net unrealized investment gains and losses recorded on Kudu’s revenue and earnings participation contracts, which are recorded at fair value under GAAP, and realized investment gains and losses from participation contracts sold during the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Non-cash equity-based compensation expense</w:t>
      </w:r>
      <w:r>
        <w:rPr>
          <w:color w:val="000000"/>
        </w:rPr>
        <w:t xml:space="preserve"> </w:t>
      </w:r>
      <w:r>
        <w:rPr>
          <w:rFonts w:ascii="Times New Roman;serif" w:hAnsi="Times New Roman;serif"/>
          <w:b w:val="false"/>
          <w:color w:val="000000"/>
          <w:sz w:val="22"/>
        </w:rPr>
        <w:t>- Represents non-cash expenses related to Kudu’s management compensation that are settled with equity units in Kudu.</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Transaction expenses</w:t>
      </w:r>
      <w:r>
        <w:rPr>
          <w:color w:val="000000"/>
        </w:rPr>
        <w:t xml:space="preserve"> </w:t>
      </w:r>
      <w:r>
        <w:rPr>
          <w:rFonts w:ascii="Times New Roman;serif" w:hAnsi="Times New Roman;serif"/>
          <w:b w:val="false"/>
          <w:color w:val="000000"/>
          <w:sz w:val="22"/>
        </w:rPr>
        <w:t>- Represents costs directly related to Kudu’s mergers and acquisitions activity, such as external lawyer, banker, consulting and placement agent fees, which are not capitalized and are expensed under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Annualized adjusted EBITDA is a non-GAAP financial measure that (i) annualizes partial year revenues related to Kudu’s revenue and earnings participation contracts acquired during the previous 12-month period and (ii) removes partial year revenues related to revenue and earnings participation contracts sold during the previous 12-month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Annualized revenue is a non-GAAP financial measure that adds the adjustments for annualized adjusted EBITDA to GAAP net investment income.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Cash revenue yield is a non-GAAP financial measure that is derived using annualized revenue as a percentage of total net capital drawn and invested. The most directly comparable GAAP financial measure is net investment income revenue yield, which is derived using GAAP net investment income as a percentage of total net capital drawn and invested.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White Mountains believes that these non-GAAP financial measures are useful to management and investors in evaluating Kudu’s underlying performance. White Mountains also believes that annualized adjusted EBITDA is useful to management and investors in understanding the full earnings profile of Kudu’s business as of the end of any 12-month period. See page 18 for the reconciliation of Kudu’s GAAP net income (loss) to EBITDA, adjusted EBITDA and annualized adjusted EBITDA, and the reconciliation of Kudu’s GAAP net investment income to annualized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Distinguished’s ScaleCo net income (loss), ScaleCo EBITDA and ScaleCo adjusted EBITDA are non-GAAP financial measures.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ScaleCo net income (loss) is a non-GAAP financial measure that excludes the results of the GrowthCo vertical, which is consolidated under GAAP, from Distinguished’s consolidated GAAP net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ScaleCo EBITDA is a non-GAAP financial measure that adds back interest expense on debt, income tax (expense) benefit, depreciation and amortization of other intangible assets to ScaleCo net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ScaleCo adjusted EBITDA is a non-GAAP financial measure that excludes certain other items in GAAP net income (loss) in addition to those items added back to calculate ScaleCo EBITDA. The items relate to (i) non-cash equity-based compensation expense, (ii) restructuring expenses and (iii) legal settlement expenses. A description of each item follows:</w:t>
      </w:r>
    </w:p>
    <w:p>
      <w:pPr>
        <w:pStyle w:val="TextBody"/>
        <w:bidi w:val="0"/>
        <w:spacing w:lineRule="auto" w:line="288"/>
        <w:ind w:left="0" w:right="0" w:hanging="360"/>
        <w:jc w:val="left"/>
        <w:rPr/>
      </w:pPr>
      <w:r>
        <w:rPr>
          <w:color w:val="000000"/>
        </w:rPr>
        <w:t>•</w:t>
      </w:r>
      <w:r>
        <w:rPr>
          <w:rFonts w:ascii="Times New Roman;serif" w:hAnsi="Times New Roman;serif"/>
          <w:b w:val="false"/>
          <w:i/>
          <w:color w:val="000000"/>
          <w:sz w:val="22"/>
        </w:rPr>
        <w:t>Non-cash equity-based compensation expense</w:t>
      </w:r>
      <w:r>
        <w:rPr>
          <w:color w:val="000000"/>
        </w:rPr>
        <w:t xml:space="preserve"> </w:t>
      </w:r>
      <w:r>
        <w:rPr>
          <w:rFonts w:ascii="Times New Roman;serif" w:hAnsi="Times New Roman;serif"/>
          <w:b w:val="false"/>
          <w:color w:val="000000"/>
          <w:sz w:val="22"/>
        </w:rPr>
        <w:t>- Represents non-cash expenses related to Distinguished’s management compensation that are settled with equity units in Distinguished.</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Restructuring expenses</w:t>
      </w:r>
      <w:r>
        <w:rPr>
          <w:color w:val="000000"/>
        </w:rPr>
        <w:t xml:space="preserve"> </w:t>
      </w:r>
      <w:r>
        <w:rPr>
          <w:rFonts w:ascii="Times New Roman;serif" w:hAnsi="Times New Roman;serif"/>
          <w:b w:val="false"/>
          <w:color w:val="000000"/>
          <w:sz w:val="22"/>
        </w:rPr>
        <w:t>- Represents costs related to Distinguished’s corporate restructuring and capital planning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 xml:space="preserve">Legal settlement expenses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Represents amounts incurred related to legal settlements.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White Mountains believes that these non-GAAP financial measures are useful to management and investors in evaluating Distinguished’s underlying performance. White Mountains also believes that excluding the results of the GrowthCo vertical, which Distinguished views as an investment in start-up programs, is useful to understanding the underlying performance of Distinguished’s established programs. See page 21 for the reconciliation of Distinguished’s consolidated GAAP net income (loss) to ScaleCo net income (loss), ScaleCo EBITDA and ScaleCo adjusted EBITDA.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WTM Partners’s EBITDA and adjusted EBITDA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transaction expenses and (ii) restructuring and integration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Transaction expenses</w:t>
      </w:r>
      <w:r>
        <w:rPr>
          <w:color w:val="000000"/>
        </w:rPr>
        <w:t xml:space="preserve"> </w:t>
      </w:r>
      <w:r>
        <w:rPr>
          <w:rFonts w:ascii="Times New Roman;serif" w:hAnsi="Times New Roman;serif"/>
          <w:b w:val="false"/>
          <w:color w:val="000000"/>
          <w:sz w:val="22"/>
        </w:rPr>
        <w:t>- Represents costs directly related to WTM Partners’s mergers and acquisitions activity, such as external lawyer, banker, consulting and placement agent fees, which are not capitalized and are expensed under GAAP.</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Restructuring and integration expenses</w:t>
      </w:r>
      <w:r>
        <w:rPr>
          <w:color w:val="000000"/>
        </w:rPr>
        <w:t xml:space="preserve"> </w:t>
      </w:r>
      <w:r>
        <w:rPr>
          <w:rFonts w:ascii="Times New Roman;serif" w:hAnsi="Times New Roman;serif"/>
          <w:b w:val="false"/>
          <w:color w:val="000000"/>
          <w:sz w:val="22"/>
        </w:rPr>
        <w:t>- Represents costs related to WTM Partners’s corporate restructuring and mergers and acquisitions integration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White Mountains believes that these non-GAAP financial measures are useful to management and investors in evaluating WTM Partners’s underlying performance. See page 22 for the reconciliation of WTM Partners’s GAAP net income (loss) to EBITDA and adjusted EBITDA.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Total consolidated portfolio return excluding MediaAlpha and total equity portfolio return excluding MediaAlpha are non-GAAP financial measures that remove the net investment income and net realized and unrealized investment gains (losses) from White Mountains’s investment in MediaAlpha. White Mountains believes these measures to be useful to management and investors by showing the underlying performance of White Mountains’s investment portfolio and equity portfolio without regard to White Mountains’s investment in MediaAlpha. The following tables present reconciliations from GAAP to the reported percentages: </w:t>
      </w:r>
    </w:p>
    <w:tbl>
      <w:tblPr>
        <w:tblW w:w="10205" w:type="dxa"/>
        <w:jc w:val="center"/>
        <w:tblInd w:w="0" w:type="dxa"/>
        <w:tblLayout w:type="fixed"/>
        <w:tblCellMar>
          <w:top w:w="28" w:type="dxa"/>
          <w:left w:w="28" w:type="dxa"/>
          <w:bottom w:w="28" w:type="dxa"/>
          <w:right w:w="28" w:type="dxa"/>
        </w:tblCellMar>
      </w:tblPr>
      <w:tblGrid>
        <w:gridCol w:w="1683"/>
        <w:gridCol w:w="1480"/>
        <w:gridCol w:w="1485"/>
        <w:gridCol w:w="109"/>
        <w:gridCol w:w="109"/>
        <w:gridCol w:w="109"/>
        <w:gridCol w:w="237"/>
        <w:gridCol w:w="239"/>
        <w:gridCol w:w="535"/>
        <w:gridCol w:w="193"/>
        <w:gridCol w:w="193"/>
        <w:gridCol w:w="193"/>
        <w:gridCol w:w="237"/>
        <w:gridCol w:w="239"/>
        <w:gridCol w:w="482"/>
        <w:gridCol w:w="109"/>
        <w:gridCol w:w="109"/>
        <w:gridCol w:w="109"/>
        <w:gridCol w:w="210"/>
        <w:gridCol w:w="211"/>
        <w:gridCol w:w="485"/>
        <w:gridCol w:w="175"/>
        <w:gridCol w:w="175"/>
        <w:gridCol w:w="175"/>
        <w:gridCol w:w="203"/>
        <w:gridCol w:w="203"/>
        <w:gridCol w:w="518"/>
      </w:tblGrid>
      <w:tr>
        <w:trPr/>
        <w:tc>
          <w:tcPr>
            <w:tcW w:w="168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 excluding MediaAlpha</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5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4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tbl>
      <w:tblPr>
        <w:tblW w:w="9282" w:type="dxa"/>
        <w:jc w:val="center"/>
        <w:tblInd w:w="0" w:type="dxa"/>
        <w:tblLayout w:type="fixed"/>
        <w:tblCellMar>
          <w:top w:w="28" w:type="dxa"/>
          <w:left w:w="28" w:type="dxa"/>
          <w:bottom w:w="28" w:type="dxa"/>
          <w:right w:w="28" w:type="dxa"/>
        </w:tblCellMar>
      </w:tblPr>
      <w:tblGrid>
        <w:gridCol w:w="1633"/>
        <w:gridCol w:w="1438"/>
        <w:gridCol w:w="1444"/>
        <w:gridCol w:w="109"/>
        <w:gridCol w:w="109"/>
        <w:gridCol w:w="109"/>
        <w:gridCol w:w="109"/>
        <w:gridCol w:w="109"/>
        <w:gridCol w:w="2851"/>
        <w:gridCol w:w="109"/>
        <w:gridCol w:w="239"/>
        <w:gridCol w:w="241"/>
        <w:gridCol w:w="301"/>
        <w:gridCol w:w="109"/>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portfolio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equity portfolio return excluding MediaAlpha </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ind w:left="0" w:right="0" w:hanging="180"/>
        <w:jc w:val="center"/>
        <w:rPr>
          <w:rFonts w:ascii="Times New Roman;serif" w:hAnsi="Times New Roman;serif"/>
          <w:b/>
          <w:color w:val="000000"/>
          <w:sz w:val="22"/>
        </w:rPr>
      </w:pPr>
      <w:r>
        <w:rPr>
          <w:rFonts w:ascii="Times New Roman;serif" w:hAnsi="Times New Roman;serif"/>
          <w:b/>
          <w:color w:val="000000"/>
          <w:sz w:val="22"/>
        </w:rPr>
        <w:t>Safe Harbor Statement under the Private Securities Litigation Reform Act of 1995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earnings release may contain “forward-looking statements” within the meaning of Section 27A of the Securities Act of 1933 and Section 21E of the Securities Exchange Act of 1934. All statements, other than statements of historical facts, included or referenced in this release which address activities, events or developments which White Mountains expects or anticipates will or may occur in the future are forward-looking statements. The words “may,” “could,” “will,” “believe,” “intend,” “expect,” “anticipate,” “project,” “estimate,” “predict” and similar expressions are also intended to identify forward-looking statements. These forward-looking statements include, among others, statements with respect to White Mountains’s: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change in book value per share or return on equity;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business strategy;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financial and operating targets or plans;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incurred loss and loss adjustment expenses and the adequacy of its loss and loss adjustment expense reserves and related reinsurance;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projections of revenues, income (or loss), earnings (or loss) per share, EBITDA, adjusted EBITDA, dividends, market share or other financial forecasts of White Mountains or its businesses;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expansion and growth of its business and operations;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future capital expenditures.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These statements are based on certain assumptions and analyses made by White Mountains in light of its experience and perception of historical trends, current conditions and expected future developments, as well as other factors believed to be appropriate in the circumstances. However, whether actual results and developments will conform to its expectations and predictions is subject to risks and uncertainties that could cause actual results to differ materially from expectations, including: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the risks that are described from time to time in White Mountains’s filings with the Securities and Exchange Commission, including but not limited to White Mountains’s 2025 Annual Report on Form 10-K;</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claims arising from catastrophic events, such as hurricanes, windstorms, earthquakes, floods, wildfires, tornadoes, tsunamis, severe weather, public health crises, terrorist attacks, war and war-like actions, explosions, infrastructure failures or cyber attacks;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recorded loss reserves subsequently proving to have been inadequate;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market value of White Mountains’s investment in MediaAlpha;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business opportunities (or lack thereof) that may be presented to it and pursued;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actions taken by rating agencies, such as financial strength or credit ratings downgrades or placing ratings on negative watch;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continued availability of capital and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continued availability of fronting and reinsurance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deterioration of general economic, market or business conditions, including due to war and war-like actions and outbreaks of contagious disease and corresponding mitigation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competitive forces, including the conduct of other insurers;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changes in domestic or foreign laws or regulations, or their interpretation, applicable to White Mountains, its competitors or its customers;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other factors, most of which are beyond White Mountains’s control.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Consequently, all of the forward-looking statements made in this earnings release are qualified by these cautionary statements, and there can be no assurance that the actual results or developments anticipated by White Mountains will be realized or, even if substantially realized, that they will have the expected consequences to, or effects on, White Mountains or its business or operations. White Mountains assumes no obligation to publicly update any such forward-looking statements, whether as a result of new information, future events or otherwise.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11576</Words>
  <Characters>63655</Characters>
  <CharactersWithSpaces>74441</CharactersWithSpaces>
  <Paragraphs>3149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