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SMITH LOWNDES ANDREW</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05/29/2008</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Arial" w:cs="Arial" w:eastAsia="Arial" w:hAnsi="Arial"/>
                <w:sz w:val="17"/>
                <w:szCs w:val="17"/>
                <w:color w:val="0000FF"/>
              </w:rPr>
              <w:t>05/29/2008</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340"/>
              <w:spacing w:after="0"/>
              <w:rPr>
                <w:sz w:val="20"/>
                <w:szCs w:val="20"/>
                <w:color w:val="auto"/>
              </w:rPr>
            </w:pPr>
            <w:r>
              <w:rPr>
                <w:rFonts w:ascii="Arial" w:cs="Arial" w:eastAsia="Arial" w:hAnsi="Arial"/>
                <w:sz w:val="17"/>
                <w:szCs w:val="17"/>
                <w:color w:val="0000FF"/>
              </w:rPr>
              <w:t>100</w:t>
            </w:r>
          </w:p>
        </w:tc>
        <w:tc>
          <w:tcPr>
            <w:tcW w:w="7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tcPr>
          <w:p>
            <w:pPr>
              <w:ind w:left="520"/>
              <w:spacing w:after="0"/>
              <w:rPr>
                <w:sz w:val="20"/>
                <w:szCs w:val="20"/>
                <w:color w:val="auto"/>
              </w:rPr>
            </w:pPr>
            <w:r>
              <w:rPr>
                <w:rFonts w:ascii="Arial" w:cs="Arial" w:eastAsia="Arial" w:hAnsi="Arial"/>
                <w:sz w:val="17"/>
                <w:szCs w:val="17"/>
                <w:color w:val="0000FF"/>
              </w:rPr>
              <w:t>1,100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0"/>
              </w:rPr>
              <w:t>101</w:t>
            </w:r>
            <w:r>
              <w:rPr>
                <w:rFonts w:ascii="Arial" w:cs="Arial" w:eastAsia="Arial" w:hAnsi="Arial"/>
                <w:sz w:val="22"/>
                <w:szCs w:val="22"/>
                <w:color w:val="008000"/>
                <w:w w:val="80"/>
                <w:vertAlign w:val="superscript"/>
              </w:rPr>
              <w:t>(3)</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accrual of fractional Phantom Share dividend equivalents to the Reporting Person's deferred compensation account totaling to one Phantom Share since the Reporting Person's last filing.</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06/02/2008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2019-12-18T13:35:02Z</dcterms:created>
  <dcterms:modified xsi:type="dcterms:W3CDTF">2019-12-18T13:35:02Z</dcterms:modified>
</cp:coreProperties>
</file>