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625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6255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7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01/21/2014</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37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ind w:left="2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80" w:type="dxa"/>
            <w:vAlign w:val="bottom"/>
            <w:gridSpan w:val="6"/>
          </w:tcPr>
          <w:p>
            <w:pPr>
              <w:ind w:left="80"/>
              <w:spacing w:after="0" w:line="132" w:lineRule="exact"/>
              <w:rPr>
                <w:sz w:val="20"/>
                <w:szCs w:val="20"/>
                <w:color w:val="auto"/>
              </w:rPr>
            </w:pPr>
            <w:r>
              <w:rPr>
                <w:rFonts w:ascii="Arial" w:cs="Arial" w:eastAsia="Arial" w:hAnsi="Arial"/>
                <w:sz w:val="12"/>
                <w:szCs w:val="12"/>
                <w:b w:val="1"/>
                <w:bCs w:val="1"/>
                <w:color w:val="auto"/>
              </w:rPr>
              <w:t>Transaction  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13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01/21/2014</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6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w w:val="82"/>
              </w:rPr>
              <w:t>1,861</w:t>
            </w:r>
            <w:r>
              <w:rPr>
                <w:rFonts w:ascii="Arial" w:cs="Arial" w:eastAsia="Arial" w:hAnsi="Arial"/>
                <w:sz w:val="22"/>
                <w:szCs w:val="22"/>
                <w:color w:val="008000"/>
                <w:w w:val="82"/>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592.78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5,000</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32,167</w:t>
            </w:r>
            <w:r>
              <w:rPr>
                <w:rFonts w:ascii="Arial" w:cs="Arial" w:eastAsia="Arial" w:hAnsi="Arial"/>
                <w:sz w:val="22"/>
                <w:szCs w:val="22"/>
                <w:color w:val="008000"/>
                <w:w w:val="84"/>
                <w:vertAlign w:val="superscript"/>
              </w:rPr>
              <w:t>(1)(2)</w:t>
            </w: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4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(3)</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6,106</w:t>
            </w:r>
          </w:p>
        </w:tc>
        <w:tc>
          <w:tcPr>
            <w:tcW w:w="260" w:type="dxa"/>
            <w:vAlign w:val="bottom"/>
          </w:tcPr>
          <w:p>
            <w:pPr>
              <w:spacing w:after="0"/>
              <w:rPr>
                <w:sz w:val="23"/>
                <w:szCs w:val="23"/>
                <w:color w:val="auto"/>
              </w:rPr>
            </w:pPr>
          </w:p>
        </w:tc>
        <w:tc>
          <w:tcPr>
            <w:tcW w:w="720" w:type="dxa"/>
            <w:vAlign w:val="bottom"/>
          </w:tcPr>
          <w:p>
            <w:pPr>
              <w:ind w:left="14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17,906</w:t>
            </w:r>
            <w:r>
              <w:rPr>
                <w:rFonts w:ascii="Arial" w:cs="Arial" w:eastAsia="Arial" w:hAnsi="Arial"/>
                <w:sz w:val="22"/>
                <w:szCs w:val="22"/>
                <w:color w:val="008000"/>
                <w:w w:val="88"/>
                <w:vertAlign w:val="superscript"/>
              </w:rPr>
              <w:t>(2)</w:t>
            </w:r>
          </w:p>
        </w:tc>
        <w:tc>
          <w:tcPr>
            <w:tcW w:w="260" w:type="dxa"/>
            <w:vAlign w:val="bottom"/>
          </w:tcPr>
          <w:p>
            <w:pPr>
              <w:spacing w:after="0"/>
              <w:rPr>
                <w:sz w:val="18"/>
                <w:szCs w:val="18"/>
                <w:color w:val="auto"/>
              </w:rPr>
            </w:pPr>
          </w:p>
        </w:tc>
        <w:tc>
          <w:tcPr>
            <w:tcW w:w="720" w:type="dxa"/>
            <w:vAlign w:val="bottom"/>
          </w:tcPr>
          <w:p>
            <w:pPr>
              <w:ind w:left="14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597</w:t>
            </w:r>
            <w:r>
              <w:rPr>
                <w:rFonts w:ascii="Arial" w:cs="Arial" w:eastAsia="Arial" w:hAnsi="Arial"/>
                <w:sz w:val="22"/>
                <w:szCs w:val="22"/>
                <w:color w:val="008000"/>
                <w:w w:val="82"/>
                <w:vertAlign w:val="superscript"/>
              </w:rPr>
              <w:t>(4)</w:t>
            </w:r>
          </w:p>
        </w:tc>
        <w:tc>
          <w:tcPr>
            <w:tcW w:w="260" w:type="dxa"/>
            <w:vAlign w:val="bottom"/>
          </w:tcPr>
          <w:p>
            <w:pPr>
              <w:spacing w:after="0"/>
              <w:rPr>
                <w:sz w:val="22"/>
                <w:szCs w:val="22"/>
                <w:color w:val="auto"/>
              </w:rPr>
            </w:pPr>
          </w:p>
        </w:tc>
        <w:tc>
          <w:tcPr>
            <w:tcW w:w="720" w:type="dxa"/>
            <w:vAlign w:val="bottom"/>
            <w:vMerge w:val="restart"/>
          </w:tcPr>
          <w:p>
            <w:pPr>
              <w:ind w:left="14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8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88"/>
              </w:rPr>
              <w:t>(5)</w:t>
            </w:r>
          </w:p>
        </w:tc>
        <w:tc>
          <w:tcPr>
            <w:tcW w:w="74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125,000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40"/>
              <w:spacing w:after="0" w:line="132" w:lineRule="exact"/>
              <w:rPr>
                <w:sz w:val="20"/>
                <w:szCs w:val="20"/>
                <w:color w:val="auto"/>
              </w:rPr>
            </w:pPr>
            <w:r>
              <w:rPr>
                <w:rFonts w:ascii="Arial" w:cs="Arial" w:eastAsia="Arial" w:hAnsi="Arial"/>
                <w:sz w:val="13"/>
                <w:szCs w:val="13"/>
                <w:color w:val="0000FF"/>
              </w:rPr>
              <w:t>01/20/2017</w:t>
            </w:r>
          </w:p>
        </w:tc>
        <w:tc>
          <w:tcPr>
            <w:tcW w:w="6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20" w:type="dxa"/>
            <w:vAlign w:val="bottom"/>
          </w:tcPr>
          <w:p>
            <w:pPr>
              <w:ind w:left="36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21, 2014, 5,000 restricted WTM Common Shares became unrestricted. 1,861 of the Common Shares were withheld by the Company to satisfy the Reporting Person's tax obligations. 3,319 of the restricted WTM Common Shares were reclassified as unrestricted shares held directly.</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payments from GRATs to the Reporting Person of 1,106 WTM Common Shares, and 1,610 to the spouse of the Reporting Person, since his last filed report.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shares held in accounts jointly owned by the Reporting Person and his spouse.</w:t>
      </w:r>
    </w:p>
    <w:p>
      <w:pPr>
        <w:spacing w:after="0" w:line="51"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accumulation of 8 WTM Common Shares in Reporting Person's Company 401(k) account since his last filed report. WTM Common Shares are purchased at fair market value on the date of purchase. The information in this report is based on a plan statement dated as of December 31, 2013.</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01/23/2014</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376"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2019-12-18T13:43:35Z</dcterms:created>
  <dcterms:modified xsi:type="dcterms:W3CDTF">2019-12-18T13:43:35Z</dcterms:modified>
</cp:coreProperties>
</file>