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01/25/2016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01/25/2016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G</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270</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Arial" w:cs="Arial" w:eastAsia="Arial" w:hAnsi="Arial"/>
                <w:sz w:val="18"/>
                <w:szCs w:val="18"/>
                <w:color w:val="0000FF"/>
                <w:w w:val="88"/>
              </w:rPr>
              <w:t>2,370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560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1,910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4"/>
              <w:spacing w:after="0"/>
              <w:rPr>
                <w:sz w:val="20"/>
                <w:szCs w:val="20"/>
                <w:color w:val="auto"/>
              </w:rPr>
            </w:pPr>
            <w:r>
              <w:rPr>
                <w:rFonts w:ascii="Arial" w:cs="Arial" w:eastAsia="Arial" w:hAnsi="Arial"/>
                <w:sz w:val="18"/>
                <w:szCs w:val="18"/>
                <w:color w:val="0000FF"/>
                <w:w w:val="83"/>
              </w:rPr>
              <w:t>424</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25, 2016, the Reporting Person received a restricted share award of 560 Common Shares, which vests on January 1, 2019.</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4 WTM Common Shares in Reporting Person's Company 401(k) account since his last filed report. WTM Common Shares are purchased at fair market value on the date of purchase. The information in this report is based on a plan statement dated as of Feb 25, 2016.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2019-12-24T06:50:16Z</dcterms:created>
  <dcterms:modified xsi:type="dcterms:W3CDTF">2019-12-24T06:50:16Z</dcterms:modified>
</cp:coreProperties>
</file>