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77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775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Frinquelli Angelo Michael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03/25/2009</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200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w w:val="91"/>
              </w:rPr>
              <w:t>Renaissance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300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Fund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Inc.</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2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2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jc w:val="right"/>
              <w:ind w:right="179"/>
              <w:spacing w:after="0"/>
              <w:rPr>
                <w:sz w:val="20"/>
                <w:szCs w:val="20"/>
                <w:color w:val="auto"/>
              </w:rPr>
            </w:pPr>
            <w:r>
              <w:rPr>
                <w:rFonts w:ascii="Arial" w:cs="Arial" w:eastAsia="Arial" w:hAnsi="Arial"/>
                <w:sz w:val="13"/>
                <w:szCs w:val="13"/>
                <w:color w:val="0000FF"/>
              </w:rPr>
              <w:t>03/25/2009</w:t>
            </w:r>
          </w:p>
        </w:tc>
        <w:tc>
          <w:tcPr>
            <w:tcW w:w="112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00"/>
              <w:spacing w:after="0" w:line="275" w:lineRule="exact"/>
              <w:rPr>
                <w:sz w:val="20"/>
                <w:szCs w:val="20"/>
                <w:color w:val="auto"/>
              </w:rPr>
            </w:pPr>
            <w:r>
              <w:rPr>
                <w:rFonts w:ascii="Arial" w:cs="Arial" w:eastAsia="Arial" w:hAnsi="Arial"/>
                <w:sz w:val="26"/>
                <w:szCs w:val="26"/>
                <w:color w:val="0000FF"/>
                <w:vertAlign w:val="subscript"/>
              </w:rPr>
              <w:t>1</w:t>
            </w:r>
            <w:r>
              <w:rPr>
                <w:rFonts w:ascii="Arial" w:cs="Arial" w:eastAsia="Arial" w:hAnsi="Arial"/>
                <w:sz w:val="11"/>
                <w:szCs w:val="11"/>
                <w:color w:val="008000"/>
              </w:rPr>
              <w:t>(3)</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22"/>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1</w:t>
            </w:r>
          </w:p>
        </w:tc>
        <w:tc>
          <w:tcPr>
            <w:tcW w:w="720" w:type="dxa"/>
            <w:vAlign w:val="bottom"/>
            <w:vMerge w:val="restart"/>
          </w:tcPr>
          <w:p>
            <w:pPr>
              <w:ind w:left="8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181.66</w:t>
            </w:r>
            <w:r>
              <w:rPr>
                <w:rFonts w:ascii="Arial" w:cs="Arial" w:eastAsia="Arial" w:hAnsi="Arial"/>
                <w:sz w:val="22"/>
                <w:szCs w:val="22"/>
                <w:color w:val="008000"/>
                <w:w w:val="96"/>
                <w:vertAlign w:val="superscript"/>
              </w:rPr>
              <w:t>(5)</w:t>
            </w:r>
          </w:p>
        </w:tc>
        <w:tc>
          <w:tcPr>
            <w:tcW w:w="960" w:type="dxa"/>
            <w:vAlign w:val="bottom"/>
            <w:vMerge w:val="restart"/>
          </w:tcPr>
          <w:p>
            <w:pPr>
              <w:ind w:left="380"/>
              <w:spacing w:after="0"/>
              <w:rPr>
                <w:sz w:val="20"/>
                <w:szCs w:val="20"/>
                <w:color w:val="auto"/>
              </w:rPr>
            </w:pPr>
            <w:r>
              <w:rPr>
                <w:rFonts w:ascii="Arial" w:cs="Arial" w:eastAsia="Arial" w:hAnsi="Arial"/>
                <w:sz w:val="13"/>
                <w:szCs w:val="13"/>
                <w:color w:val="0000FF"/>
              </w:rPr>
              <w:t>203</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82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is the sole shareholder of Renaissance Fund Advisors Inc.</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5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25, 2009, the Reporting Person's deferred compensation account was credited with Phantom Shares equal in value to the ordinary dividend paid on the underlying WTM Common Shares on the dividend date.</w:t>
      </w:r>
    </w:p>
    <w:p>
      <w:pPr>
        <w:spacing w:after="0" w:line="16"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were automatically invested in Phantom Shares at the fair market price per share of the underlying WTM Common Shares on March 25, 2009, the date dividends were actually paid.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03/26/2009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4"/>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6"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23rd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2019-12-18T13:18:11Z</dcterms:created>
  <dcterms:modified xsi:type="dcterms:W3CDTF">2019-12-18T13:18:11Z</dcterms:modified>
</cp:coreProperties>
</file>