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822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CHOKEL CHARLES BERGEN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40"/>
              <w:spacing w:after="0"/>
              <w:rPr>
                <w:sz w:val="20"/>
                <w:szCs w:val="20"/>
                <w:color w:val="auto"/>
              </w:rPr>
            </w:pPr>
            <w:r>
              <w:rPr>
                <w:rFonts w:ascii="Arial" w:cs="Arial" w:eastAsia="Arial" w:hAnsi="Arial"/>
                <w:sz w:val="18"/>
                <w:szCs w:val="18"/>
                <w:color w:val="0000FF"/>
              </w:rPr>
              <w:t>CFO - White Mountains Re Group</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06/25/2008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ind w:left="540"/>
              <w:spacing w:after="0"/>
              <w:rPr>
                <w:sz w:val="20"/>
                <w:szCs w:val="20"/>
                <w:color w:val="auto"/>
              </w:rPr>
            </w:pPr>
            <w:r>
              <w:rPr>
                <w:rFonts w:ascii="Arial" w:cs="Arial" w:eastAsia="Arial" w:hAnsi="Arial"/>
                <w:sz w:val="18"/>
                <w:szCs w:val="18"/>
                <w:color w:val="0000FF"/>
              </w:rPr>
              <w:t>1,600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ind w:left="540"/>
              <w:spacing w:after="0"/>
              <w:rPr>
                <w:sz w:val="20"/>
                <w:szCs w:val="20"/>
                <w:color w:val="auto"/>
              </w:rPr>
            </w:pPr>
            <w:r>
              <w:rPr>
                <w:rFonts w:ascii="Arial" w:cs="Arial" w:eastAsia="Arial" w:hAnsi="Arial"/>
                <w:sz w:val="35"/>
                <w:szCs w:val="35"/>
                <w:color w:val="0000FF"/>
                <w:vertAlign w:val="subscript"/>
              </w:rPr>
              <w:t>451</w:t>
            </w:r>
            <w:r>
              <w:rPr>
                <w:rFonts w:ascii="Arial" w:cs="Arial" w:eastAsia="Arial" w:hAnsi="Arial"/>
                <w:sz w:val="11"/>
                <w:szCs w:val="11"/>
                <w:color w:val="008000"/>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06/25/2008</w:t>
            </w:r>
          </w:p>
        </w:tc>
        <w:tc>
          <w:tcPr>
            <w:tcW w:w="114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27"/>
                <w:szCs w:val="27"/>
                <w:color w:val="0000FF"/>
                <w:vertAlign w:val="subscript"/>
              </w:rPr>
              <w:t>2</w:t>
            </w:r>
            <w:r>
              <w:rPr>
                <w:rFonts w:ascii="Arial" w:cs="Arial" w:eastAsia="Arial" w:hAnsi="Arial"/>
                <w:sz w:val="11"/>
                <w:szCs w:val="11"/>
                <w:color w:val="008000"/>
              </w:rPr>
              <w:t>(3)</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2</w:t>
            </w:r>
          </w:p>
        </w:tc>
        <w:tc>
          <w:tcPr>
            <w:tcW w:w="60" w:type="dxa"/>
            <w:vAlign w:val="bottom"/>
          </w:tcPr>
          <w:p>
            <w:pPr>
              <w:spacing w:after="0"/>
              <w:rPr>
                <w:sz w:val="16"/>
                <w:szCs w:val="16"/>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440</w:t>
            </w:r>
            <w:r>
              <w:rPr>
                <w:rFonts w:ascii="Arial" w:cs="Arial" w:eastAsia="Arial" w:hAnsi="Arial"/>
                <w:sz w:val="22"/>
                <w:szCs w:val="22"/>
                <w:color w:val="008000"/>
                <w:vertAlign w:val="superscript"/>
              </w:rPr>
              <w:t>(5)</w:t>
            </w:r>
          </w:p>
        </w:tc>
        <w:tc>
          <w:tcPr>
            <w:tcW w:w="740" w:type="dxa"/>
            <w:vAlign w:val="bottom"/>
            <w:vMerge w:val="restart"/>
          </w:tcPr>
          <w:p>
            <w:pPr>
              <w:ind w:left="380"/>
              <w:spacing w:after="0"/>
              <w:rPr>
                <w:sz w:val="20"/>
                <w:szCs w:val="20"/>
                <w:color w:val="auto"/>
              </w:rPr>
            </w:pPr>
            <w:r>
              <w:rPr>
                <w:rFonts w:ascii="Arial" w:cs="Arial" w:eastAsia="Arial" w:hAnsi="Arial"/>
                <w:sz w:val="14"/>
                <w:szCs w:val="14"/>
                <w:color w:val="0000FF"/>
              </w:rPr>
              <w:t>273</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Since January 1, 2008, Reporting Person has acquired 44 WTM Common Shares in several 401(k) Plan accounts. The information in this report is based on plan statements dated May 31 and June 25, 2008.</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Phantom Shares are convertible into Common Shares on a 1 for 1 basis.</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June 25, 2008, the Reporting Person's deferred compensation account was credited with Phantom Shares equal in value to the ordinary dividend paid on the underlying WTM Common Shares on the dividend date.</w:t>
      </w:r>
    </w:p>
    <w:p>
      <w:pPr>
        <w:spacing w:after="0" w:line="30"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Shares are held in the Reporting Person's WTM deferred compensation account and are payable in cash or shares upon the earlier of the date when the Reporting Person ceases to be an employee of the Company or a date certain selected by the Reporting Person.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Dividends are automatically invested in Phantom Shares at the fair market price per share of the underlying WTM Common Shares on June 25, 2008, the date dividends were actually paid.</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Jason R. Lichtenstein,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06/27/2008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Charles B. Chokel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2019-12-18T13:49:36Z</dcterms:created>
  <dcterms:modified xsi:type="dcterms:W3CDTF">2019-12-18T13:49:36Z</dcterms:modified>
</cp:coreProperties>
</file>