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PALMER JESS BRIAN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00"/>
              <w:spacing w:after="0"/>
              <w:rPr>
                <w:sz w:val="20"/>
                <w:szCs w:val="20"/>
                <w:color w:val="auto"/>
              </w:rPr>
            </w:pPr>
            <w:r>
              <w:rPr>
                <w:rFonts w:ascii="Arial" w:cs="Arial" w:eastAsia="Arial" w:hAnsi="Arial"/>
                <w:sz w:val="18"/>
                <w:szCs w:val="18"/>
                <w:color w:val="0000FF"/>
              </w:rPr>
              <w:t>Chief Accounting Officer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01/01/2014</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01/01/2014</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303</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603.08</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1,525</w:t>
            </w:r>
            <w:r>
              <w:rPr>
                <w:rFonts w:ascii="Arial" w:cs="Arial" w:eastAsia="Arial" w:hAnsi="Arial"/>
                <w:sz w:val="22"/>
                <w:szCs w:val="22"/>
                <w:color w:val="008000"/>
                <w:w w:val="82"/>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2"/>
              </w:rPr>
              <w:t>2,297</w:t>
            </w:r>
            <w:r>
              <w:rPr>
                <w:rFonts w:ascii="Arial" w:cs="Arial" w:eastAsia="Arial" w:hAnsi="Arial"/>
                <w:sz w:val="22"/>
                <w:szCs w:val="22"/>
                <w:color w:val="008000"/>
                <w:w w:val="82"/>
                <w:vertAlign w:val="superscript"/>
              </w:rPr>
              <w:t>(1)</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37"/>
              <w:spacing w:after="0"/>
              <w:rPr>
                <w:sz w:val="20"/>
                <w:szCs w:val="20"/>
                <w:color w:val="auto"/>
              </w:rPr>
            </w:pPr>
            <w:r>
              <w:rPr>
                <w:rFonts w:ascii="Arial" w:cs="Arial" w:eastAsia="Arial" w:hAnsi="Arial"/>
                <w:sz w:val="18"/>
                <w:szCs w:val="18"/>
                <w:color w:val="0000FF"/>
                <w:w w:val="83"/>
              </w:rPr>
              <w:t>408</w:t>
            </w:r>
            <w:r>
              <w:rPr>
                <w:rFonts w:ascii="Arial" w:cs="Arial" w:eastAsia="Arial" w:hAnsi="Arial"/>
                <w:sz w:val="22"/>
                <w:szCs w:val="22"/>
                <w:color w:val="008000"/>
                <w:w w:val="83"/>
                <w:vertAlign w:val="superscript"/>
              </w:rPr>
              <w:t>(2)</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4120" w:type="dxa"/>
            <w:vAlign w:val="bottom"/>
            <w:tcBorders>
              <w:bottom w:val="single" w:sz="8" w:color="2C2C2C"/>
            </w:tcBorders>
            <w:gridSpan w:val="8"/>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January 1, 2014, 900 restricted WTM Common Shares became unrestricted. 303 of the Common Shares were withheld by the Company to satisfy the Reporting Person's tax obligations.</w:t>
      </w:r>
    </w:p>
    <w:p>
      <w:pPr>
        <w:spacing w:after="0" w:line="64" w:lineRule="exact"/>
        <w:rPr>
          <w:rFonts w:ascii="Arial" w:cs="Arial" w:eastAsia="Arial" w:hAnsi="Arial"/>
          <w:sz w:val="12"/>
          <w:szCs w:val="12"/>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accumulation of 27 WTM Common Shares in Reporting Person's Company 401(k) account since his last filed report. WTM Common Shares are purchased at fair market value on the date of purchase. The information in this report is based on a plan statement dated as of December 31, 2013.</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01/03/2014</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J. Brian Palmer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87"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2019-12-18T13:39:10Z</dcterms:created>
  <dcterms:modified xsi:type="dcterms:W3CDTF">2019-12-18T13:39:10Z</dcterms:modified>
</cp:coreProperties>
</file>