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4" w:lineRule="exact"/>
        <w:rPr>
          <w:sz w:val="24"/>
          <w:szCs w:val="24"/>
          <w:color w:val="auto"/>
        </w:rPr>
      </w:pPr>
    </w:p>
    <w:p>
      <w:pPr>
        <w:jc w:val="center"/>
        <w:ind w:left="5400" w:right="160" w:hanging="5225"/>
        <w:spacing w:after="0" w:line="256" w:lineRule="auto"/>
        <w:tabs>
          <w:tab w:leader="none" w:pos="57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period ended March 31, 2026</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jc w:val="center"/>
        <w:ind w:left="5400" w:right="120" w:hanging="5266"/>
        <w:spacing w:after="0" w:line="275" w:lineRule="auto"/>
        <w:tabs>
          <w:tab w:leader="none" w:pos="598"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18" w:lineRule="exact"/>
        <w:rPr>
          <w:sz w:val="24"/>
          <w:szCs w:val="24"/>
          <w:color w:val="auto"/>
        </w:rPr>
      </w:pPr>
    </w:p>
    <w:p>
      <w:pPr>
        <w:ind w:left="396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1-8993</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WHITE MOUNTAINS INSURANCE GROUP, LTD.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6" w:lineRule="exact"/>
        <w:rPr>
          <w:sz w:val="24"/>
          <w:szCs w:val="24"/>
          <w:color w:val="auto"/>
        </w:rPr>
      </w:pPr>
    </w:p>
    <w:tbl>
      <w:tblPr>
        <w:tblLayout w:type="fixed"/>
        <w:tblInd w:w="580" w:type="dxa"/>
        <w:tblCellMar>
          <w:top w:w="0" w:type="dxa"/>
          <w:left w:w="0" w:type="dxa"/>
          <w:bottom w:w="0" w:type="dxa"/>
          <w:right w:w="0" w:type="dxa"/>
        </w:tblCellMar>
      </w:tblPr>
      <w:tr>
        <w:trPr>
          <w:trHeight w:val="233"/>
        </w:trPr>
        <w:tc>
          <w:tcPr>
            <w:tcW w:w="540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Bermuda</w:t>
            </w:r>
          </w:p>
        </w:tc>
        <w:tc>
          <w:tcPr>
            <w:tcW w:w="3720" w:type="dxa"/>
            <w:vAlign w:val="bottom"/>
            <w:vMerge w:val="restart"/>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94-2708455</w:t>
            </w:r>
          </w:p>
        </w:tc>
        <w:tc>
          <w:tcPr>
            <w:tcW w:w="0" w:type="dxa"/>
            <w:vAlign w:val="bottom"/>
          </w:tcPr>
          <w:p>
            <w:pPr>
              <w:spacing w:after="0"/>
              <w:rPr>
                <w:sz w:val="1"/>
                <w:szCs w:val="1"/>
                <w:color w:val="auto"/>
              </w:rPr>
            </w:pPr>
          </w:p>
        </w:tc>
      </w:tr>
      <w:tr>
        <w:trPr>
          <w:trHeight w:val="226"/>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23 South Main Street, Suite 3B</w:t>
            </w:r>
          </w:p>
        </w:tc>
        <w:tc>
          <w:tcPr>
            <w:tcW w:w="372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30"/>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7"/>
              </w:rPr>
              <w:t>Hanover,</w:t>
            </w:r>
          </w:p>
        </w:tc>
        <w:tc>
          <w:tcPr>
            <w:tcW w:w="372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03755-2053</w:t>
            </w:r>
          </w:p>
        </w:tc>
        <w:tc>
          <w:tcPr>
            <w:tcW w:w="0" w:type="dxa"/>
            <w:vAlign w:val="bottom"/>
          </w:tcPr>
          <w:p>
            <w:pPr>
              <w:spacing w:after="0"/>
              <w:rPr>
                <w:sz w:val="1"/>
                <w:szCs w:val="1"/>
                <w:color w:val="auto"/>
              </w:rPr>
            </w:pPr>
          </w:p>
        </w:tc>
      </w:tr>
      <w:tr>
        <w:trPr>
          <w:trHeight w:val="234"/>
        </w:trPr>
        <w:tc>
          <w:tcPr>
            <w:tcW w:w="540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New Hampshire</w:t>
            </w:r>
          </w:p>
        </w:tc>
        <w:tc>
          <w:tcPr>
            <w:tcW w:w="372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234"/>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(603) 640-2200</w:t>
      </w:r>
    </w:p>
    <w:p>
      <w:pPr>
        <w:spacing w:after="0" w:line="1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218"/>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 par value $1.00 per share</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WTM</w:t>
            </w:r>
          </w:p>
        </w:tc>
        <w:tc>
          <w:tcPr>
            <w:tcW w:w="12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WTM.BH</w:t>
            </w: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Bermuda Stock Exchange</w:t>
            </w:r>
          </w:p>
        </w:tc>
      </w:tr>
    </w:tbl>
    <w:p>
      <w:pPr>
        <w:spacing w:after="0" w:line="130"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4" w:lineRule="exact"/>
        <w:rPr>
          <w:sz w:val="24"/>
          <w:szCs w:val="24"/>
          <w:color w:val="auto"/>
        </w:rPr>
      </w:pPr>
    </w:p>
    <w:p>
      <w:pPr>
        <w:ind w:right="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4"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35" w:right="339" w:bottom="1440" w:gutter="0" w:footer="0" w:header="0"/>
        </w:sectPr>
      </w:pPr>
    </w:p>
    <w:p>
      <w:pPr>
        <w:spacing w:after="0" w:line="14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107" w:lineRule="exact"/>
        <w:rPr>
          <w:sz w:val="24"/>
          <w:szCs w:val="24"/>
          <w:color w:val="auto"/>
        </w:rPr>
      </w:pPr>
    </w:p>
    <w:p>
      <w:pPr>
        <w:sectPr>
          <w:pgSz w:w="11900" w:h="16838" w:orient="portrait"/>
          <w:cols w:equalWidth="0" w:num="4">
            <w:col w:w="1640" w:space="540"/>
            <w:col w:w="1940" w:space="720"/>
            <w:col w:w="3860" w:space="720"/>
            <w:col w:w="1820"/>
          </w:cols>
          <w:pgMar w:left="320" w:top="635" w:right="339" w:bottom="1440" w:gutter="0" w:footer="0" w:header="0"/>
          <w:type w:val="continuous"/>
        </w:sectPr>
      </w:pPr>
    </w:p>
    <w:p>
      <w:pPr>
        <w:jc w:val="center"/>
        <w:ind w:left="90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300" w:space="720"/>
            <w:col w:w="4220"/>
          </w:cols>
          <w:pgMar w:left="320" w:top="635" w:right="339" w:bottom="1440" w:gutter="0" w:footer="0" w:header="0"/>
          <w:type w:val="continuous"/>
        </w:sectPr>
      </w:pPr>
    </w:p>
    <w:p>
      <w:pPr>
        <w:spacing w:after="0" w:line="125"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9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May 1, 2026, 2,476,670 common shares with a par value of $1.00 per share were outstanding (which includes 31,690 restricted common shares that were not vested at such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WHITE MOUNTAINS INSURANCE GROUP, LTD.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8840" w:type="dxa"/>
            <w:vAlign w:val="bottom"/>
          </w:tcPr>
          <w:p>
            <w:pPr>
              <w:spacing w:after="0"/>
              <w:rPr>
                <w:sz w:val="16"/>
                <w:szCs w:val="16"/>
                <w:color w:val="auto"/>
              </w:rPr>
            </w:pP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333333"/>
              </w:rPr>
              <w:t>Page No.</w:t>
            </w:r>
          </w:p>
        </w:tc>
        <w:tc>
          <w:tcPr>
            <w:tcW w:w="0" w:type="dxa"/>
            <w:vAlign w:val="bottom"/>
          </w:tcPr>
          <w:p>
            <w:pPr>
              <w:spacing w:after="0"/>
              <w:rPr>
                <w:sz w:val="1"/>
                <w:szCs w:val="1"/>
                <w:color w:val="auto"/>
              </w:rPr>
            </w:pPr>
          </w:p>
        </w:tc>
      </w:tr>
      <w:tr>
        <w:trPr>
          <w:trHeight w:val="23"/>
        </w:trPr>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333333"/>
              </w:rPr>
              <w:t>PART I.</w:t>
            </w:r>
          </w:p>
        </w:tc>
        <w:tc>
          <w:tcPr>
            <w:tcW w:w="88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333333"/>
              </w:rPr>
              <w:t>FINANCIAL INFORMATION</w:t>
            </w: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300" w:type="dxa"/>
            <w:vAlign w:val="bottom"/>
            <w:vMerge w:val="continue"/>
          </w:tcPr>
          <w:p>
            <w:pPr>
              <w:spacing w:after="0"/>
              <w:rPr>
                <w:sz w:val="24"/>
                <w:szCs w:val="24"/>
                <w:color w:val="auto"/>
              </w:rPr>
            </w:pPr>
          </w:p>
        </w:tc>
        <w:tc>
          <w:tcPr>
            <w:tcW w:w="88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333333"/>
              </w:rPr>
              <w:t>Item 1.</w:t>
            </w:r>
          </w:p>
        </w:tc>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333333"/>
              </w:rPr>
              <w:t>Financial Statements (Unaudited)</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00" w:type="dxa"/>
            <w:vAlign w:val="bottom"/>
          </w:tcPr>
          <w:p>
            <w:pPr>
              <w:spacing w:after="0"/>
              <w:rPr>
                <w:sz w:val="24"/>
                <w:szCs w:val="24"/>
                <w:color w:val="auto"/>
              </w:rPr>
            </w:pPr>
          </w:p>
        </w:tc>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Consolidated Balance Sheets, March 31, 2026 and December 31,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00" w:type="dxa"/>
            <w:vAlign w:val="bottom"/>
          </w:tcPr>
          <w:p>
            <w:pPr>
              <w:spacing w:after="0"/>
              <w:rPr>
                <w:sz w:val="24"/>
                <w:szCs w:val="24"/>
                <w:color w:val="auto"/>
              </w:rPr>
            </w:pPr>
          </w:p>
        </w:tc>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Consolidated Statements of Operations, Three Months Ended March 31, 2026 and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Consolidated Statements of Comprehensive Income, Three Months Ended</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8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March 31, 2026 and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Consolidated Statements of Changes in Equity, Three Months Ended March 31, 2026 and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300" w:type="dxa"/>
            <w:vAlign w:val="bottom"/>
          </w:tcPr>
          <w:p>
            <w:pPr>
              <w:spacing w:after="0"/>
              <w:rPr>
                <w:sz w:val="24"/>
                <w:szCs w:val="24"/>
                <w:color w:val="auto"/>
              </w:rPr>
            </w:pPr>
          </w:p>
        </w:tc>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Consolidated Statements of Cash Flows, Three Months Ended March 31, 2026 and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00" w:type="dxa"/>
            <w:vAlign w:val="bottom"/>
          </w:tcPr>
          <w:p>
            <w:pPr>
              <w:spacing w:after="0"/>
              <w:rPr>
                <w:sz w:val="24"/>
                <w:szCs w:val="24"/>
                <w:color w:val="auto"/>
              </w:rPr>
            </w:pPr>
          </w:p>
        </w:tc>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47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00" w:type="dxa"/>
            <w:vAlign w:val="bottom"/>
          </w:tcPr>
          <w:p>
            <w:pPr>
              <w:spacing w:after="0"/>
              <w:rPr>
                <w:sz w:val="24"/>
                <w:szCs w:val="24"/>
                <w:color w:val="auto"/>
              </w:rPr>
            </w:pPr>
          </w:p>
        </w:tc>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Results of Operations for the Three Months Ended March 31, 2026 and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47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00" w:type="dxa"/>
            <w:vAlign w:val="bottom"/>
          </w:tcPr>
          <w:p>
            <w:pPr>
              <w:spacing w:after="0"/>
              <w:rPr>
                <w:sz w:val="24"/>
                <w:szCs w:val="24"/>
                <w:color w:val="auto"/>
              </w:rPr>
            </w:pPr>
          </w:p>
        </w:tc>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Liquidity and Capital Resources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67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00" w:type="dxa"/>
            <w:vAlign w:val="bottom"/>
          </w:tcPr>
          <w:p>
            <w:pPr>
              <w:spacing w:after="0"/>
              <w:rPr>
                <w:sz w:val="24"/>
                <w:szCs w:val="24"/>
                <w:color w:val="auto"/>
              </w:rPr>
            </w:pPr>
          </w:p>
        </w:tc>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Non-GAAP Financial Measures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Critical Accounting Estimates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00" w:type="dxa"/>
            <w:vAlign w:val="bottom"/>
          </w:tcPr>
          <w:p>
            <w:pPr>
              <w:spacing w:after="0"/>
              <w:rPr>
                <w:sz w:val="24"/>
                <w:szCs w:val="24"/>
                <w:color w:val="auto"/>
              </w:rPr>
            </w:pPr>
          </w:p>
        </w:tc>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Forward-Looking Statements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72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72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Controls and Procedures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73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73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Items 1 through 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73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333333"/>
              </w:rPr>
              <w:t>SIGNATURES</w:t>
            </w:r>
          </w:p>
        </w:tc>
        <w:tc>
          <w:tcPr>
            <w:tcW w:w="88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74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6"/>
        </w:trPr>
        <w:tc>
          <w:tcPr>
            <w:tcW w:w="1300" w:type="dxa"/>
            <w:vAlign w:val="bottom"/>
            <w:tcBorders>
              <w:bottom w:val="single" w:sz="8" w:color="9A9A9A"/>
            </w:tcBorders>
          </w:tcPr>
          <w:p>
            <w:pPr>
              <w:spacing w:after="0"/>
              <w:rPr>
                <w:sz w:val="24"/>
                <w:szCs w:val="24"/>
                <w:color w:val="auto"/>
              </w:rPr>
            </w:pPr>
          </w:p>
        </w:tc>
        <w:tc>
          <w:tcPr>
            <w:tcW w:w="88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9"/>
        </w:trPr>
        <w:tc>
          <w:tcPr>
            <w:tcW w:w="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29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FINANCIAL INFORMATION.</w:t>
            </w: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29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Financial Statements</w:t>
            </w:r>
          </w:p>
        </w:tc>
        <w:tc>
          <w:tcPr>
            <w:tcW w:w="4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WHITE MOUNTAINS INSURANCE GROUP, LTD.</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180" w:type="dxa"/>
            <w:vAlign w:val="bottom"/>
            <w:gridSpan w:val="3"/>
            <w:vMerge w:val="continue"/>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1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1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3540" w:type="dxa"/>
            <w:vAlign w:val="bottom"/>
            <w:tcBorders>
              <w:bottom w:val="single" w:sz="8" w:color="auto"/>
            </w:tcBorders>
            <w:gridSpan w:val="2"/>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gridSpan w:val="2"/>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share and per share amounts</w:t>
            </w: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6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89"/>
        </w:trPr>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960" w:type="dxa"/>
            <w:vAlign w:val="bottom"/>
            <w:tcBorders>
              <w:top w:val="single" w:sz="8" w:color="auto"/>
            </w:tcBorders>
          </w:tcPr>
          <w:p>
            <w:pPr>
              <w:spacing w:after="0"/>
              <w:rPr>
                <w:sz w:val="16"/>
                <w:szCs w:val="16"/>
                <w:color w:val="auto"/>
              </w:rPr>
            </w:pPr>
          </w:p>
        </w:tc>
        <w:tc>
          <w:tcPr>
            <w:tcW w:w="3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P&amp;C Insurance and Reinsurance (Ark/WM Outrigger)</w:t>
            </w: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Fixed maturity investments, at fair value</w:t>
            </w:r>
          </w:p>
        </w:tc>
        <w:tc>
          <w:tcPr>
            <w:tcW w:w="418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1,870.0</w:t>
            </w:r>
          </w:p>
        </w:tc>
        <w:tc>
          <w:tcPr>
            <w:tcW w:w="1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1,917.9</w:t>
            </w:r>
          </w:p>
        </w:tc>
        <w:tc>
          <w:tcPr>
            <w:tcW w:w="0" w:type="dxa"/>
            <w:vAlign w:val="bottom"/>
          </w:tcPr>
          <w:p>
            <w:pPr>
              <w:spacing w:after="0"/>
              <w:rPr>
                <w:sz w:val="1"/>
                <w:szCs w:val="1"/>
                <w:color w:val="auto"/>
              </w:rPr>
            </w:pPr>
          </w:p>
        </w:tc>
      </w:tr>
      <w:tr>
        <w:trPr>
          <w:trHeight w:val="203"/>
        </w:trPr>
        <w:tc>
          <w:tcPr>
            <w:tcW w:w="3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Common equity securities, at fair value</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399.2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452.3</w:t>
            </w:r>
          </w:p>
        </w:tc>
        <w:tc>
          <w:tcPr>
            <w:tcW w:w="0" w:type="dxa"/>
            <w:vAlign w:val="bottom"/>
          </w:tcPr>
          <w:p>
            <w:pPr>
              <w:spacing w:after="0"/>
              <w:rPr>
                <w:sz w:val="1"/>
                <w:szCs w:val="1"/>
                <w:color w:val="auto"/>
              </w:rPr>
            </w:pPr>
          </w:p>
        </w:tc>
      </w:tr>
      <w:tr>
        <w:trPr>
          <w:trHeight w:val="203"/>
        </w:trPr>
        <w:tc>
          <w:tcPr>
            <w:tcW w:w="3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Short-term investments, at fair value</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900.5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866.6</w:t>
            </w:r>
          </w:p>
        </w:tc>
        <w:tc>
          <w:tcPr>
            <w:tcW w:w="0" w:type="dxa"/>
            <w:vAlign w:val="bottom"/>
          </w:tcPr>
          <w:p>
            <w:pPr>
              <w:spacing w:after="0"/>
              <w:rPr>
                <w:sz w:val="1"/>
                <w:szCs w:val="1"/>
                <w:color w:val="auto"/>
              </w:rPr>
            </w:pPr>
          </w:p>
        </w:tc>
      </w:tr>
      <w:tr>
        <w:trPr>
          <w:trHeight w:val="203"/>
        </w:trPr>
        <w:tc>
          <w:tcPr>
            <w:tcW w:w="3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737.7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689.7</w:t>
            </w:r>
          </w:p>
        </w:tc>
        <w:tc>
          <w:tcPr>
            <w:tcW w:w="0" w:type="dxa"/>
            <w:vAlign w:val="bottom"/>
          </w:tcPr>
          <w:p>
            <w:pPr>
              <w:spacing w:after="0"/>
              <w:rPr>
                <w:sz w:val="1"/>
                <w:szCs w:val="1"/>
                <w:color w:val="auto"/>
              </w:rPr>
            </w:pPr>
          </w:p>
        </w:tc>
      </w:tr>
      <w:tr>
        <w:trPr>
          <w:trHeight w:val="23"/>
        </w:trPr>
        <w:tc>
          <w:tcPr>
            <w:tcW w:w="3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Total investments</w:t>
            </w:r>
          </w:p>
        </w:tc>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540" w:type="dxa"/>
            <w:vAlign w:val="bottom"/>
            <w:gridSpan w:val="2"/>
            <w:vMerge w:val="continue"/>
          </w:tcPr>
          <w:p>
            <w:pPr>
              <w:spacing w:after="0"/>
              <w:rPr>
                <w:sz w:val="15"/>
                <w:szCs w:val="15"/>
                <w:color w:val="auto"/>
              </w:rPr>
            </w:pPr>
          </w:p>
        </w:tc>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3,907.4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3,926.5</w:t>
            </w:r>
          </w:p>
        </w:tc>
        <w:tc>
          <w:tcPr>
            <w:tcW w:w="0" w:type="dxa"/>
            <w:vAlign w:val="bottom"/>
          </w:tcPr>
          <w:p>
            <w:pPr>
              <w:spacing w:after="0"/>
              <w:rPr>
                <w:sz w:val="1"/>
                <w:szCs w:val="1"/>
                <w:color w:val="auto"/>
              </w:rPr>
            </w:pPr>
          </w:p>
        </w:tc>
      </w:tr>
      <w:tr>
        <w:trPr>
          <w:trHeight w:val="191"/>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Cash (restricted $3.0 and $1.1)</w:t>
            </w: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97.3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0" w:type="dxa"/>
            <w:vAlign w:val="bottom"/>
          </w:tcPr>
          <w:p>
            <w:pPr>
              <w:spacing w:after="0"/>
              <w:rPr>
                <w:sz w:val="1"/>
                <w:szCs w:val="1"/>
                <w:color w:val="auto"/>
              </w:rPr>
            </w:pPr>
          </w:p>
        </w:tc>
      </w:tr>
      <w:tr>
        <w:trPr>
          <w:trHeight w:val="203"/>
        </w:trPr>
        <w:tc>
          <w:tcPr>
            <w:tcW w:w="3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Reinsurance recoverables</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1,179.3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836.1</w:t>
            </w:r>
          </w:p>
        </w:tc>
        <w:tc>
          <w:tcPr>
            <w:tcW w:w="0" w:type="dxa"/>
            <w:vAlign w:val="bottom"/>
          </w:tcPr>
          <w:p>
            <w:pPr>
              <w:spacing w:after="0"/>
              <w:rPr>
                <w:sz w:val="1"/>
                <w:szCs w:val="1"/>
                <w:color w:val="auto"/>
              </w:rPr>
            </w:pPr>
          </w:p>
        </w:tc>
      </w:tr>
      <w:tr>
        <w:trPr>
          <w:trHeight w:val="203"/>
        </w:trPr>
        <w:tc>
          <w:tcPr>
            <w:tcW w:w="3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Insurance premiums receivable</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1,307.4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848.4</w:t>
            </w:r>
          </w:p>
        </w:tc>
        <w:tc>
          <w:tcPr>
            <w:tcW w:w="0" w:type="dxa"/>
            <w:vAlign w:val="bottom"/>
          </w:tcPr>
          <w:p>
            <w:pPr>
              <w:spacing w:after="0"/>
              <w:rPr>
                <w:sz w:val="1"/>
                <w:szCs w:val="1"/>
                <w:color w:val="auto"/>
              </w:rPr>
            </w:pPr>
          </w:p>
        </w:tc>
      </w:tr>
      <w:tr>
        <w:trPr>
          <w:trHeight w:val="203"/>
        </w:trPr>
        <w:tc>
          <w:tcPr>
            <w:tcW w:w="3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Deferred acquisition costs</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300.2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w:t>
            </w:r>
          </w:p>
        </w:tc>
        <w:tc>
          <w:tcPr>
            <w:tcW w:w="0" w:type="dxa"/>
            <w:vAlign w:val="bottom"/>
          </w:tcPr>
          <w:p>
            <w:pPr>
              <w:spacing w:after="0"/>
              <w:rPr>
                <w:sz w:val="1"/>
                <w:szCs w:val="1"/>
                <w:color w:val="auto"/>
              </w:rPr>
            </w:pPr>
          </w:p>
        </w:tc>
      </w:tr>
      <w:tr>
        <w:trPr>
          <w:trHeight w:val="203"/>
        </w:trPr>
        <w:tc>
          <w:tcPr>
            <w:tcW w:w="3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Goodwill and other intangible assets</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292.5</w:t>
            </w:r>
          </w:p>
        </w:tc>
        <w:tc>
          <w:tcPr>
            <w:tcW w:w="0" w:type="dxa"/>
            <w:vAlign w:val="bottom"/>
          </w:tcPr>
          <w:p>
            <w:pPr>
              <w:spacing w:after="0"/>
              <w:rPr>
                <w:sz w:val="1"/>
                <w:szCs w:val="1"/>
                <w:color w:val="auto"/>
              </w:rPr>
            </w:pPr>
          </w:p>
        </w:tc>
      </w:tr>
      <w:tr>
        <w:trPr>
          <w:trHeight w:val="203"/>
        </w:trPr>
        <w:tc>
          <w:tcPr>
            <w:tcW w:w="3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136.6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0" w:type="dxa"/>
            <w:vAlign w:val="bottom"/>
          </w:tcPr>
          <w:p>
            <w:pPr>
              <w:spacing w:after="0"/>
              <w:rPr>
                <w:sz w:val="1"/>
                <w:szCs w:val="1"/>
                <w:color w:val="auto"/>
              </w:rPr>
            </w:pPr>
          </w:p>
        </w:tc>
      </w:tr>
      <w:tr>
        <w:trPr>
          <w:trHeight w:val="23"/>
        </w:trPr>
        <w:tc>
          <w:tcPr>
            <w:tcW w:w="3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Total P&amp;C Insurance and Reinsurance assets</w:t>
            </w:r>
          </w:p>
        </w:tc>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40" w:type="dxa"/>
            <w:vAlign w:val="bottom"/>
            <w:gridSpan w:val="2"/>
            <w:vMerge w:val="continue"/>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7,220.7</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6,354.1</w:t>
            </w:r>
          </w:p>
        </w:tc>
        <w:tc>
          <w:tcPr>
            <w:tcW w:w="0" w:type="dxa"/>
            <w:vAlign w:val="bottom"/>
          </w:tcPr>
          <w:p>
            <w:pPr>
              <w:spacing w:after="0"/>
              <w:rPr>
                <w:sz w:val="1"/>
                <w:szCs w:val="1"/>
                <w:color w:val="auto"/>
              </w:rPr>
            </w:pPr>
          </w:p>
        </w:tc>
      </w:tr>
      <w:tr>
        <w:trPr>
          <w:trHeight w:val="166"/>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Asset Management (Kudu)</w:t>
            </w: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5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Short-term investments, at fair value</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203"/>
        </w:trPr>
        <w:tc>
          <w:tcPr>
            <w:tcW w:w="35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1,358.8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1,291.4</w:t>
            </w:r>
          </w:p>
        </w:tc>
        <w:tc>
          <w:tcPr>
            <w:tcW w:w="0" w:type="dxa"/>
            <w:vAlign w:val="bottom"/>
          </w:tcPr>
          <w:p>
            <w:pPr>
              <w:spacing w:after="0"/>
              <w:rPr>
                <w:sz w:val="1"/>
                <w:szCs w:val="1"/>
                <w:color w:val="auto"/>
              </w:rPr>
            </w:pPr>
          </w:p>
        </w:tc>
      </w:tr>
      <w:tr>
        <w:trPr>
          <w:trHeight w:val="23"/>
        </w:trPr>
        <w:tc>
          <w:tcPr>
            <w:tcW w:w="3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Total investments</w:t>
            </w:r>
          </w:p>
        </w:tc>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540" w:type="dxa"/>
            <w:vAlign w:val="bottom"/>
            <w:gridSpan w:val="2"/>
            <w:vMerge w:val="continue"/>
          </w:tcPr>
          <w:p>
            <w:pPr>
              <w:spacing w:after="0"/>
              <w:rPr>
                <w:sz w:val="15"/>
                <w:szCs w:val="15"/>
                <w:color w:val="auto"/>
              </w:rPr>
            </w:pPr>
          </w:p>
        </w:tc>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1,379.7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1,313.3</w:t>
            </w:r>
          </w:p>
        </w:tc>
        <w:tc>
          <w:tcPr>
            <w:tcW w:w="0" w:type="dxa"/>
            <w:vAlign w:val="bottom"/>
          </w:tcPr>
          <w:p>
            <w:pPr>
              <w:spacing w:after="0"/>
              <w:rPr>
                <w:sz w:val="1"/>
                <w:szCs w:val="1"/>
                <w:color w:val="auto"/>
              </w:rPr>
            </w:pPr>
          </w:p>
        </w:tc>
      </w:tr>
      <w:tr>
        <w:trPr>
          <w:trHeight w:val="191"/>
        </w:trPr>
        <w:tc>
          <w:tcPr>
            <w:tcW w:w="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w:t>
            </w:r>
          </w:p>
        </w:tc>
        <w:tc>
          <w:tcPr>
            <w:tcW w:w="29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203"/>
        </w:trPr>
        <w:tc>
          <w:tcPr>
            <w:tcW w:w="35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Accrued investment income</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203"/>
        </w:trPr>
        <w:tc>
          <w:tcPr>
            <w:tcW w:w="35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Goodwill and other intangible assets</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03"/>
        </w:trPr>
        <w:tc>
          <w:tcPr>
            <w:tcW w:w="35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Other assets</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23"/>
        </w:trPr>
        <w:tc>
          <w:tcPr>
            <w:tcW w:w="3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Total Asset Management assets</w:t>
            </w:r>
          </w:p>
        </w:tc>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40" w:type="dxa"/>
            <w:vAlign w:val="bottom"/>
            <w:gridSpan w:val="2"/>
            <w:vMerge w:val="continue"/>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1,447.1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1,402.3</w:t>
            </w:r>
          </w:p>
        </w:tc>
        <w:tc>
          <w:tcPr>
            <w:tcW w:w="0" w:type="dxa"/>
            <w:vAlign w:val="bottom"/>
          </w:tcPr>
          <w:p>
            <w:pPr>
              <w:spacing w:after="0"/>
              <w:rPr>
                <w:sz w:val="1"/>
                <w:szCs w:val="1"/>
                <w:color w:val="auto"/>
              </w:rPr>
            </w:pPr>
          </w:p>
        </w:tc>
      </w:tr>
      <w:tr>
        <w:trPr>
          <w:trHeight w:val="166"/>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Financial Guarantee (HG Global)</w:t>
            </w: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705.2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Fixed maturity investments, at fair value</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693.4</w:t>
            </w:r>
          </w:p>
        </w:tc>
        <w:tc>
          <w:tcPr>
            <w:tcW w:w="0" w:type="dxa"/>
            <w:vAlign w:val="bottom"/>
          </w:tcPr>
          <w:p>
            <w:pPr>
              <w:spacing w:after="0"/>
              <w:rPr>
                <w:sz w:val="1"/>
                <w:szCs w:val="1"/>
                <w:color w:val="auto"/>
              </w:rPr>
            </w:pPr>
          </w:p>
        </w:tc>
      </w:tr>
      <w:tr>
        <w:trPr>
          <w:trHeight w:val="203"/>
        </w:trPr>
        <w:tc>
          <w:tcPr>
            <w:tcW w:w="3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Short-term investments, at fair value</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85.6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0" w:type="dxa"/>
            <w:vAlign w:val="bottom"/>
          </w:tcPr>
          <w:p>
            <w:pPr>
              <w:spacing w:after="0"/>
              <w:rPr>
                <w:sz w:val="1"/>
                <w:szCs w:val="1"/>
                <w:color w:val="auto"/>
              </w:rPr>
            </w:pPr>
          </w:p>
        </w:tc>
      </w:tr>
      <w:tr>
        <w:trPr>
          <w:trHeight w:val="23"/>
        </w:trPr>
        <w:tc>
          <w:tcPr>
            <w:tcW w:w="3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Total investments</w:t>
            </w:r>
          </w:p>
        </w:tc>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540" w:type="dxa"/>
            <w:vAlign w:val="bottom"/>
            <w:gridSpan w:val="2"/>
            <w:vMerge w:val="continue"/>
          </w:tcPr>
          <w:p>
            <w:pPr>
              <w:spacing w:after="0"/>
              <w:rPr>
                <w:sz w:val="15"/>
                <w:szCs w:val="15"/>
                <w:color w:val="auto"/>
              </w:rPr>
            </w:pPr>
          </w:p>
        </w:tc>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790.8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784.2</w:t>
            </w:r>
          </w:p>
        </w:tc>
        <w:tc>
          <w:tcPr>
            <w:tcW w:w="0" w:type="dxa"/>
            <w:vAlign w:val="bottom"/>
          </w:tcPr>
          <w:p>
            <w:pPr>
              <w:spacing w:after="0"/>
              <w:rPr>
                <w:sz w:val="1"/>
                <w:szCs w:val="1"/>
                <w:color w:val="auto"/>
              </w:rPr>
            </w:pPr>
          </w:p>
        </w:tc>
      </w:tr>
      <w:tr>
        <w:trPr>
          <w:trHeight w:val="191"/>
        </w:trPr>
        <w:tc>
          <w:tcPr>
            <w:tcW w:w="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w:t>
            </w:r>
          </w:p>
        </w:tc>
        <w:tc>
          <w:tcPr>
            <w:tcW w:w="29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3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BAM Surplus Notes, at fair value</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345.9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339.0</w:t>
            </w:r>
          </w:p>
        </w:tc>
        <w:tc>
          <w:tcPr>
            <w:tcW w:w="0" w:type="dxa"/>
            <w:vAlign w:val="bottom"/>
          </w:tcPr>
          <w:p>
            <w:pPr>
              <w:spacing w:after="0"/>
              <w:rPr>
                <w:sz w:val="1"/>
                <w:szCs w:val="1"/>
                <w:color w:val="auto"/>
              </w:rPr>
            </w:pPr>
          </w:p>
        </w:tc>
      </w:tr>
      <w:tr>
        <w:trPr>
          <w:trHeight w:val="203"/>
        </w:trPr>
        <w:tc>
          <w:tcPr>
            <w:tcW w:w="3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Insurance premiums receivable</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03"/>
        </w:trPr>
        <w:tc>
          <w:tcPr>
            <w:tcW w:w="3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Deferred acquisition costs</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97.3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0" w:type="dxa"/>
            <w:vAlign w:val="bottom"/>
          </w:tcPr>
          <w:p>
            <w:pPr>
              <w:spacing w:after="0"/>
              <w:rPr>
                <w:sz w:val="1"/>
                <w:szCs w:val="1"/>
                <w:color w:val="auto"/>
              </w:rPr>
            </w:pPr>
          </w:p>
        </w:tc>
      </w:tr>
      <w:tr>
        <w:trPr>
          <w:trHeight w:val="203"/>
        </w:trPr>
        <w:tc>
          <w:tcPr>
            <w:tcW w:w="3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3"/>
        </w:trPr>
        <w:tc>
          <w:tcPr>
            <w:tcW w:w="3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Total Financial Guarantee assets</w:t>
            </w:r>
          </w:p>
        </w:tc>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40" w:type="dxa"/>
            <w:vAlign w:val="bottom"/>
            <w:gridSpan w:val="2"/>
            <w:vMerge w:val="continue"/>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1,247.6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1,236.8</w:t>
            </w:r>
          </w:p>
        </w:tc>
        <w:tc>
          <w:tcPr>
            <w:tcW w:w="0" w:type="dxa"/>
            <w:vAlign w:val="bottom"/>
          </w:tcPr>
          <w:p>
            <w:pPr>
              <w:spacing w:after="0"/>
              <w:rPr>
                <w:sz w:val="1"/>
                <w:szCs w:val="1"/>
                <w:color w:val="auto"/>
              </w:rPr>
            </w:pPr>
          </w:p>
        </w:tc>
      </w:tr>
      <w:tr>
        <w:trPr>
          <w:trHeight w:val="166"/>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Specialty Insurance Distribution (Distinguished)</w:t>
            </w: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66.1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Short-term investments, at fair value</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0" w:type="dxa"/>
            <w:vAlign w:val="bottom"/>
          </w:tcPr>
          <w:p>
            <w:pPr>
              <w:spacing w:after="0"/>
              <w:rPr>
                <w:sz w:val="1"/>
                <w:szCs w:val="1"/>
                <w:color w:val="auto"/>
              </w:rPr>
            </w:pPr>
          </w:p>
        </w:tc>
      </w:tr>
      <w:tr>
        <w:trPr>
          <w:trHeight w:val="23"/>
        </w:trPr>
        <w:tc>
          <w:tcPr>
            <w:tcW w:w="3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Total investments</w:t>
            </w:r>
          </w:p>
        </w:tc>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540" w:type="dxa"/>
            <w:vAlign w:val="bottom"/>
            <w:gridSpan w:val="2"/>
            <w:vMerge w:val="continue"/>
          </w:tcPr>
          <w:p>
            <w:pPr>
              <w:spacing w:after="0"/>
              <w:rPr>
                <w:sz w:val="15"/>
                <w:szCs w:val="15"/>
                <w:color w:val="auto"/>
              </w:rPr>
            </w:pPr>
          </w:p>
        </w:tc>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0" w:type="dxa"/>
            <w:vAlign w:val="bottom"/>
          </w:tcPr>
          <w:p>
            <w:pPr>
              <w:spacing w:after="0"/>
              <w:rPr>
                <w:sz w:val="1"/>
                <w:szCs w:val="1"/>
                <w:color w:val="auto"/>
              </w:rPr>
            </w:pPr>
          </w:p>
        </w:tc>
      </w:tr>
      <w:tr>
        <w:trPr>
          <w:trHeight w:val="191"/>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Cash (restricted $0.1 and $0.1)</w:t>
            </w: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03"/>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Premiums, commissions and fees receivable</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203"/>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Goodwill and other intangible assets</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571.5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577.7</w:t>
            </w:r>
          </w:p>
        </w:tc>
        <w:tc>
          <w:tcPr>
            <w:tcW w:w="0" w:type="dxa"/>
            <w:vAlign w:val="bottom"/>
          </w:tcPr>
          <w:p>
            <w:pPr>
              <w:spacing w:after="0"/>
              <w:rPr>
                <w:sz w:val="1"/>
                <w:szCs w:val="1"/>
                <w:color w:val="auto"/>
              </w:rPr>
            </w:pPr>
          </w:p>
        </w:tc>
      </w:tr>
      <w:tr>
        <w:trPr>
          <w:trHeight w:val="203"/>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3"/>
        </w:trPr>
        <w:tc>
          <w:tcPr>
            <w:tcW w:w="3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Total Specialty Insurance Distribution assets</w:t>
            </w:r>
          </w:p>
        </w:tc>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40" w:type="dxa"/>
            <w:vAlign w:val="bottom"/>
            <w:gridSpan w:val="2"/>
            <w:vMerge w:val="continue"/>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701.1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735.4</w:t>
            </w:r>
          </w:p>
        </w:tc>
        <w:tc>
          <w:tcPr>
            <w:tcW w:w="0" w:type="dxa"/>
            <w:vAlign w:val="bottom"/>
          </w:tcPr>
          <w:p>
            <w:pPr>
              <w:spacing w:after="0"/>
              <w:rPr>
                <w:sz w:val="1"/>
                <w:szCs w:val="1"/>
                <w:color w:val="auto"/>
              </w:rPr>
            </w:pPr>
          </w:p>
        </w:tc>
      </w:tr>
      <w:tr>
        <w:trPr>
          <w:trHeight w:val="166"/>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Other Operations</w:t>
            </w: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310.9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5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Fixed maturity investments, at fair value</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159.2</w:t>
            </w:r>
          </w:p>
        </w:tc>
        <w:tc>
          <w:tcPr>
            <w:tcW w:w="0" w:type="dxa"/>
            <w:vAlign w:val="bottom"/>
          </w:tcPr>
          <w:p>
            <w:pPr>
              <w:spacing w:after="0"/>
              <w:rPr>
                <w:sz w:val="1"/>
                <w:szCs w:val="1"/>
                <w:color w:val="auto"/>
              </w:rPr>
            </w:pPr>
          </w:p>
        </w:tc>
      </w:tr>
      <w:tr>
        <w:trPr>
          <w:trHeight w:val="203"/>
        </w:trPr>
        <w:tc>
          <w:tcPr>
            <w:tcW w:w="35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Common equity securities, at fair value</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147.3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203"/>
        </w:trPr>
        <w:tc>
          <w:tcPr>
            <w:tcW w:w="35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Investment in MediaAlpha, at fair value</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166.1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0" w:type="dxa"/>
            <w:vAlign w:val="bottom"/>
          </w:tcPr>
          <w:p>
            <w:pPr>
              <w:spacing w:after="0"/>
              <w:rPr>
                <w:sz w:val="1"/>
                <w:szCs w:val="1"/>
                <w:color w:val="auto"/>
              </w:rPr>
            </w:pPr>
          </w:p>
        </w:tc>
      </w:tr>
      <w:tr>
        <w:trPr>
          <w:trHeight w:val="203"/>
        </w:trPr>
        <w:tc>
          <w:tcPr>
            <w:tcW w:w="35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Short-term investments, at fair value</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428.1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807.4</w:t>
            </w:r>
          </w:p>
        </w:tc>
        <w:tc>
          <w:tcPr>
            <w:tcW w:w="0" w:type="dxa"/>
            <w:vAlign w:val="bottom"/>
          </w:tcPr>
          <w:p>
            <w:pPr>
              <w:spacing w:after="0"/>
              <w:rPr>
                <w:sz w:val="1"/>
                <w:szCs w:val="1"/>
                <w:color w:val="auto"/>
              </w:rPr>
            </w:pPr>
          </w:p>
        </w:tc>
      </w:tr>
      <w:tr>
        <w:trPr>
          <w:trHeight w:val="203"/>
        </w:trPr>
        <w:tc>
          <w:tcPr>
            <w:tcW w:w="35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1,157.0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977.4</w:t>
            </w:r>
          </w:p>
        </w:tc>
        <w:tc>
          <w:tcPr>
            <w:tcW w:w="0" w:type="dxa"/>
            <w:vAlign w:val="bottom"/>
          </w:tcPr>
          <w:p>
            <w:pPr>
              <w:spacing w:after="0"/>
              <w:rPr>
                <w:sz w:val="1"/>
                <w:szCs w:val="1"/>
                <w:color w:val="auto"/>
              </w:rPr>
            </w:pPr>
          </w:p>
        </w:tc>
      </w:tr>
      <w:tr>
        <w:trPr>
          <w:trHeight w:val="23"/>
        </w:trPr>
        <w:tc>
          <w:tcPr>
            <w:tcW w:w="3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Total investments</w:t>
            </w:r>
          </w:p>
        </w:tc>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540" w:type="dxa"/>
            <w:vAlign w:val="bottom"/>
            <w:gridSpan w:val="2"/>
            <w:vMerge w:val="continue"/>
          </w:tcPr>
          <w:p>
            <w:pPr>
              <w:spacing w:after="0"/>
              <w:rPr>
                <w:sz w:val="15"/>
                <w:szCs w:val="15"/>
                <w:color w:val="auto"/>
              </w:rPr>
            </w:pPr>
          </w:p>
        </w:tc>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2,209.4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2,205.9</w:t>
            </w:r>
          </w:p>
        </w:tc>
        <w:tc>
          <w:tcPr>
            <w:tcW w:w="0" w:type="dxa"/>
            <w:vAlign w:val="bottom"/>
          </w:tcPr>
          <w:p>
            <w:pPr>
              <w:spacing w:after="0"/>
              <w:rPr>
                <w:sz w:val="1"/>
                <w:szCs w:val="1"/>
                <w:color w:val="auto"/>
              </w:rPr>
            </w:pPr>
          </w:p>
        </w:tc>
      </w:tr>
      <w:tr>
        <w:trPr>
          <w:trHeight w:val="191"/>
        </w:trPr>
        <w:tc>
          <w:tcPr>
            <w:tcW w:w="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w:t>
            </w:r>
          </w:p>
        </w:tc>
        <w:tc>
          <w:tcPr>
            <w:tcW w:w="29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202"/>
        </w:trPr>
        <w:tc>
          <w:tcPr>
            <w:tcW w:w="35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Goodwill and other intangible assets</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140.1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0" w:type="dxa"/>
            <w:vAlign w:val="bottom"/>
          </w:tcPr>
          <w:p>
            <w:pPr>
              <w:spacing w:after="0"/>
              <w:rPr>
                <w:sz w:val="1"/>
                <w:szCs w:val="1"/>
                <w:color w:val="auto"/>
              </w:rPr>
            </w:pPr>
          </w:p>
        </w:tc>
      </w:tr>
      <w:tr>
        <w:trPr>
          <w:trHeight w:val="203"/>
        </w:trPr>
        <w:tc>
          <w:tcPr>
            <w:tcW w:w="35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Other assets</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174.3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0" w:type="dxa"/>
            <w:vAlign w:val="bottom"/>
          </w:tcPr>
          <w:p>
            <w:pPr>
              <w:spacing w:after="0"/>
              <w:rPr>
                <w:sz w:val="1"/>
                <w:szCs w:val="1"/>
                <w:color w:val="auto"/>
              </w:rPr>
            </w:pPr>
          </w:p>
        </w:tc>
      </w:tr>
      <w:tr>
        <w:trPr>
          <w:trHeight w:val="203"/>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Assets held for sale - Other</w:t>
            </w: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4"/>
        </w:trPr>
        <w:tc>
          <w:tcPr>
            <w:tcW w:w="3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Total Other Operations assets</w:t>
            </w:r>
          </w:p>
        </w:tc>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40" w:type="dxa"/>
            <w:vAlign w:val="bottom"/>
            <w:gridSpan w:val="2"/>
            <w:vMerge w:val="continue"/>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2,552.4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2,577.9</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13,168.9</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12,306.5</w:t>
            </w:r>
          </w:p>
        </w:tc>
        <w:tc>
          <w:tcPr>
            <w:tcW w:w="0" w:type="dxa"/>
            <w:vAlign w:val="bottom"/>
          </w:tcPr>
          <w:p>
            <w:pPr>
              <w:spacing w:after="0"/>
              <w:rPr>
                <w:sz w:val="1"/>
                <w:szCs w:val="1"/>
                <w:color w:val="auto"/>
              </w:rPr>
            </w:pPr>
          </w:p>
        </w:tc>
      </w:tr>
      <w:tr>
        <w:trPr>
          <w:trHeight w:val="27"/>
        </w:trPr>
        <w:tc>
          <w:tcPr>
            <w:tcW w:w="5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7"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WHITE MOUNTAINS INSURANCE GROUP,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share and per share amounts</w:t>
            </w: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89"/>
        </w:trPr>
        <w:tc>
          <w:tcPr>
            <w:tcW w:w="7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P&amp;C Insurance and Reinsurance (Ark/WM Outrigger)</w:t>
            </w: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Loss and loss adjustment expense reserves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2,585.6</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2,481.0</w:t>
            </w:r>
          </w:p>
        </w:tc>
        <w:tc>
          <w:tcPr>
            <w:tcW w:w="0" w:type="dxa"/>
            <w:vAlign w:val="bottom"/>
          </w:tcPr>
          <w:p>
            <w:pPr>
              <w:spacing w:after="0"/>
              <w:rPr>
                <w:sz w:val="1"/>
                <w:szCs w:val="1"/>
                <w:color w:val="auto"/>
              </w:rPr>
            </w:pPr>
          </w:p>
        </w:tc>
      </w:tr>
      <w:tr>
        <w:trPr>
          <w:trHeight w:val="203"/>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Unearned insurance premiums</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1,613.5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1,026.1</w:t>
            </w:r>
          </w:p>
        </w:tc>
        <w:tc>
          <w:tcPr>
            <w:tcW w:w="0" w:type="dxa"/>
            <w:vAlign w:val="bottom"/>
          </w:tcPr>
          <w:p>
            <w:pPr>
              <w:spacing w:after="0"/>
              <w:rPr>
                <w:sz w:val="1"/>
                <w:szCs w:val="1"/>
                <w:color w:val="auto"/>
              </w:rPr>
            </w:pPr>
          </w:p>
        </w:tc>
      </w:tr>
      <w:tr>
        <w:trPr>
          <w:trHeight w:val="203"/>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Debt</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0" w:type="dxa"/>
            <w:vAlign w:val="bottom"/>
          </w:tcPr>
          <w:p>
            <w:pPr>
              <w:spacing w:after="0"/>
              <w:rPr>
                <w:sz w:val="1"/>
                <w:szCs w:val="1"/>
                <w:color w:val="auto"/>
              </w:rPr>
            </w:pPr>
          </w:p>
        </w:tc>
      </w:tr>
      <w:tr>
        <w:trPr>
          <w:trHeight w:val="203"/>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Reinsurance payable</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286.2</w:t>
            </w:r>
          </w:p>
        </w:tc>
        <w:tc>
          <w:tcPr>
            <w:tcW w:w="0" w:type="dxa"/>
            <w:vAlign w:val="bottom"/>
          </w:tcPr>
          <w:p>
            <w:pPr>
              <w:spacing w:after="0"/>
              <w:rPr>
                <w:sz w:val="1"/>
                <w:szCs w:val="1"/>
                <w:color w:val="auto"/>
              </w:rPr>
            </w:pPr>
          </w:p>
        </w:tc>
      </w:tr>
      <w:tr>
        <w:trPr>
          <w:trHeight w:val="203"/>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Contingent consideration</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338.3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328.3</w:t>
            </w:r>
          </w:p>
        </w:tc>
        <w:tc>
          <w:tcPr>
            <w:tcW w:w="0" w:type="dxa"/>
            <w:vAlign w:val="bottom"/>
          </w:tcPr>
          <w:p>
            <w:pPr>
              <w:spacing w:after="0"/>
              <w:rPr>
                <w:sz w:val="1"/>
                <w:szCs w:val="1"/>
                <w:color w:val="auto"/>
              </w:rPr>
            </w:pPr>
          </w:p>
        </w:tc>
      </w:tr>
      <w:tr>
        <w:trPr>
          <w:trHeight w:val="203"/>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234.4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0" w:type="dxa"/>
            <w:vAlign w:val="bottom"/>
          </w:tcPr>
          <w:p>
            <w:pPr>
              <w:spacing w:after="0"/>
              <w:rPr>
                <w:sz w:val="1"/>
                <w:szCs w:val="1"/>
                <w:color w:val="auto"/>
              </w:rPr>
            </w:pPr>
          </w:p>
        </w:tc>
      </w:tr>
      <w:tr>
        <w:trPr>
          <w:trHeight w:val="23"/>
        </w:trPr>
        <w:tc>
          <w:tcPr>
            <w:tcW w:w="74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Total P&amp;C Insurance and Reinsurance liabilities</w:t>
            </w: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460" w:type="dxa"/>
            <w:vAlign w:val="bottom"/>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5,541.4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4,528.5</w:t>
            </w:r>
          </w:p>
        </w:tc>
        <w:tc>
          <w:tcPr>
            <w:tcW w:w="0" w:type="dxa"/>
            <w:vAlign w:val="bottom"/>
          </w:tcPr>
          <w:p>
            <w:pPr>
              <w:spacing w:after="0"/>
              <w:rPr>
                <w:sz w:val="1"/>
                <w:szCs w:val="1"/>
                <w:color w:val="auto"/>
              </w:rPr>
            </w:pPr>
          </w:p>
        </w:tc>
      </w:tr>
      <w:tr>
        <w:trPr>
          <w:trHeight w:val="166"/>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Asset Management (Kudu)</w:t>
            </w:r>
          </w:p>
        </w:tc>
        <w:tc>
          <w:tcPr>
            <w:tcW w:w="26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350.6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Debt</w:t>
            </w:r>
          </w:p>
        </w:tc>
        <w:tc>
          <w:tcPr>
            <w:tcW w:w="26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350.4</w:t>
            </w:r>
          </w:p>
        </w:tc>
        <w:tc>
          <w:tcPr>
            <w:tcW w:w="0" w:type="dxa"/>
            <w:vAlign w:val="bottom"/>
          </w:tcPr>
          <w:p>
            <w:pPr>
              <w:spacing w:after="0"/>
              <w:rPr>
                <w:sz w:val="1"/>
                <w:szCs w:val="1"/>
                <w:color w:val="auto"/>
              </w:rPr>
            </w:pPr>
          </w:p>
        </w:tc>
      </w:tr>
      <w:tr>
        <w:trPr>
          <w:trHeight w:val="203"/>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0" w:type="dxa"/>
            <w:vAlign w:val="bottom"/>
          </w:tcPr>
          <w:p>
            <w:pPr>
              <w:spacing w:after="0"/>
              <w:rPr>
                <w:sz w:val="1"/>
                <w:szCs w:val="1"/>
                <w:color w:val="auto"/>
              </w:rPr>
            </w:pPr>
          </w:p>
        </w:tc>
      </w:tr>
      <w:tr>
        <w:trPr>
          <w:trHeight w:val="23"/>
        </w:trPr>
        <w:tc>
          <w:tcPr>
            <w:tcW w:w="74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Total Asset Management liabilities</w:t>
            </w: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460" w:type="dxa"/>
            <w:vAlign w:val="bottom"/>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456.0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446.9</w:t>
            </w:r>
          </w:p>
        </w:tc>
        <w:tc>
          <w:tcPr>
            <w:tcW w:w="0" w:type="dxa"/>
            <w:vAlign w:val="bottom"/>
          </w:tcPr>
          <w:p>
            <w:pPr>
              <w:spacing w:after="0"/>
              <w:rPr>
                <w:sz w:val="1"/>
                <w:szCs w:val="1"/>
                <w:color w:val="auto"/>
              </w:rPr>
            </w:pPr>
          </w:p>
        </w:tc>
      </w:tr>
      <w:tr>
        <w:trPr>
          <w:trHeight w:val="166"/>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Financial Guarantee (HG Global)</w:t>
            </w:r>
          </w:p>
        </w:tc>
        <w:tc>
          <w:tcPr>
            <w:tcW w:w="26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328.5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Unearned insurance premiums</w:t>
            </w:r>
          </w:p>
        </w:tc>
        <w:tc>
          <w:tcPr>
            <w:tcW w:w="26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327.9</w:t>
            </w:r>
          </w:p>
        </w:tc>
        <w:tc>
          <w:tcPr>
            <w:tcW w:w="0" w:type="dxa"/>
            <w:vAlign w:val="bottom"/>
          </w:tcPr>
          <w:p>
            <w:pPr>
              <w:spacing w:after="0"/>
              <w:rPr>
                <w:sz w:val="1"/>
                <w:szCs w:val="1"/>
                <w:color w:val="auto"/>
              </w:rPr>
            </w:pPr>
          </w:p>
        </w:tc>
      </w:tr>
      <w:tr>
        <w:trPr>
          <w:trHeight w:val="203"/>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Debt</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0" w:type="dxa"/>
            <w:vAlign w:val="bottom"/>
          </w:tcPr>
          <w:p>
            <w:pPr>
              <w:spacing w:after="0"/>
              <w:rPr>
                <w:sz w:val="1"/>
                <w:szCs w:val="1"/>
                <w:color w:val="auto"/>
              </w:rPr>
            </w:pPr>
          </w:p>
        </w:tc>
      </w:tr>
      <w:tr>
        <w:trPr>
          <w:trHeight w:val="203"/>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23"/>
        </w:trPr>
        <w:tc>
          <w:tcPr>
            <w:tcW w:w="74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Total Financial Guarantee liabilities</w:t>
            </w: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60" w:type="dxa"/>
            <w:vAlign w:val="bottom"/>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499.8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499.5</w:t>
            </w:r>
          </w:p>
        </w:tc>
        <w:tc>
          <w:tcPr>
            <w:tcW w:w="0" w:type="dxa"/>
            <w:vAlign w:val="bottom"/>
          </w:tcPr>
          <w:p>
            <w:pPr>
              <w:spacing w:after="0"/>
              <w:rPr>
                <w:sz w:val="1"/>
                <w:szCs w:val="1"/>
                <w:color w:val="auto"/>
              </w:rPr>
            </w:pPr>
          </w:p>
        </w:tc>
      </w:tr>
      <w:tr>
        <w:trPr>
          <w:trHeight w:val="166"/>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Specialty Insurance Distribution (Distinguished)</w:t>
            </w:r>
          </w:p>
        </w:tc>
        <w:tc>
          <w:tcPr>
            <w:tcW w:w="26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140.8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4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Debt</w:t>
            </w:r>
          </w:p>
        </w:tc>
        <w:tc>
          <w:tcPr>
            <w:tcW w:w="26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0" w:type="dxa"/>
            <w:vAlign w:val="bottom"/>
          </w:tcPr>
          <w:p>
            <w:pPr>
              <w:spacing w:after="0"/>
              <w:rPr>
                <w:sz w:val="1"/>
                <w:szCs w:val="1"/>
                <w:color w:val="auto"/>
              </w:rPr>
            </w:pPr>
          </w:p>
        </w:tc>
      </w:tr>
      <w:tr>
        <w:trPr>
          <w:trHeight w:val="203"/>
        </w:trPr>
        <w:tc>
          <w:tcPr>
            <w:tcW w:w="74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Premiums and commissions payable</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0" w:type="dxa"/>
            <w:vAlign w:val="bottom"/>
          </w:tcPr>
          <w:p>
            <w:pPr>
              <w:spacing w:after="0"/>
              <w:rPr>
                <w:sz w:val="1"/>
                <w:szCs w:val="1"/>
                <w:color w:val="auto"/>
              </w:rPr>
            </w:pPr>
          </w:p>
        </w:tc>
      </w:tr>
      <w:tr>
        <w:trPr>
          <w:trHeight w:val="203"/>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0" w:type="dxa"/>
            <w:vAlign w:val="bottom"/>
          </w:tcPr>
          <w:p>
            <w:pPr>
              <w:spacing w:after="0"/>
              <w:rPr>
                <w:sz w:val="1"/>
                <w:szCs w:val="1"/>
                <w:color w:val="auto"/>
              </w:rPr>
            </w:pPr>
          </w:p>
        </w:tc>
      </w:tr>
      <w:tr>
        <w:trPr>
          <w:trHeight w:val="23"/>
        </w:trPr>
        <w:tc>
          <w:tcPr>
            <w:tcW w:w="74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Total Specialty Insurance Distribution liabilities</w:t>
            </w: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60" w:type="dxa"/>
            <w:vAlign w:val="bottom"/>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284.6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307.1</w:t>
            </w:r>
          </w:p>
        </w:tc>
        <w:tc>
          <w:tcPr>
            <w:tcW w:w="0" w:type="dxa"/>
            <w:vAlign w:val="bottom"/>
          </w:tcPr>
          <w:p>
            <w:pPr>
              <w:spacing w:after="0"/>
              <w:rPr>
                <w:sz w:val="1"/>
                <w:szCs w:val="1"/>
                <w:color w:val="auto"/>
              </w:rPr>
            </w:pPr>
          </w:p>
        </w:tc>
      </w:tr>
      <w:tr>
        <w:trPr>
          <w:trHeight w:val="166"/>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Other Operations</w:t>
            </w:r>
          </w:p>
        </w:tc>
        <w:tc>
          <w:tcPr>
            <w:tcW w:w="26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Loss and loss adjustment expense reserves</w:t>
            </w:r>
          </w:p>
        </w:tc>
        <w:tc>
          <w:tcPr>
            <w:tcW w:w="26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203"/>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Unearned insurance premiums</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03"/>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Debt</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203"/>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Accrued incentive compensation</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0" w:type="dxa"/>
            <w:vAlign w:val="bottom"/>
          </w:tcPr>
          <w:p>
            <w:pPr>
              <w:spacing w:after="0"/>
              <w:rPr>
                <w:sz w:val="1"/>
                <w:szCs w:val="1"/>
                <w:color w:val="auto"/>
              </w:rPr>
            </w:pPr>
          </w:p>
        </w:tc>
      </w:tr>
      <w:tr>
        <w:trPr>
          <w:trHeight w:val="203"/>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98.2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0" w:type="dxa"/>
            <w:vAlign w:val="bottom"/>
          </w:tcPr>
          <w:p>
            <w:pPr>
              <w:spacing w:after="0"/>
              <w:rPr>
                <w:sz w:val="1"/>
                <w:szCs w:val="1"/>
                <w:color w:val="auto"/>
              </w:rPr>
            </w:pPr>
          </w:p>
        </w:tc>
      </w:tr>
      <w:tr>
        <w:trPr>
          <w:trHeight w:val="203"/>
        </w:trPr>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Liabilities held for sale - Other</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3"/>
        </w:trPr>
        <w:tc>
          <w:tcPr>
            <w:tcW w:w="74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Total Other Operations liabilities</w:t>
            </w: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460" w:type="dxa"/>
            <w:vAlign w:val="bottom"/>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211.1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269.4</w:t>
            </w:r>
          </w:p>
        </w:tc>
        <w:tc>
          <w:tcPr>
            <w:tcW w:w="0" w:type="dxa"/>
            <w:vAlign w:val="bottom"/>
          </w:tcPr>
          <w:p>
            <w:pPr>
              <w:spacing w:after="0"/>
              <w:rPr>
                <w:sz w:val="1"/>
                <w:szCs w:val="1"/>
                <w:color w:val="auto"/>
              </w:rPr>
            </w:pPr>
          </w:p>
        </w:tc>
      </w:tr>
      <w:tr>
        <w:trPr>
          <w:trHeight w:val="196"/>
        </w:trPr>
        <w:tc>
          <w:tcPr>
            <w:tcW w:w="74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6,992.9</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6,051.4</w:t>
            </w:r>
          </w:p>
        </w:tc>
        <w:tc>
          <w:tcPr>
            <w:tcW w:w="0" w:type="dxa"/>
            <w:vAlign w:val="bottom"/>
          </w:tcPr>
          <w:p>
            <w:pPr>
              <w:spacing w:after="0"/>
              <w:rPr>
                <w:sz w:val="1"/>
                <w:szCs w:val="1"/>
                <w:color w:val="auto"/>
              </w:rPr>
            </w:pPr>
          </w:p>
        </w:tc>
      </w:tr>
      <w:tr>
        <w:trPr>
          <w:trHeight w:val="196"/>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Redeemable noncontrolling interests</w:t>
            </w: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131.5</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0" w:type="dxa"/>
            <w:vAlign w:val="bottom"/>
          </w:tcPr>
          <w:p>
            <w:pPr>
              <w:spacing w:after="0"/>
              <w:rPr>
                <w:sz w:val="1"/>
                <w:szCs w:val="1"/>
                <w:color w:val="auto"/>
              </w:rPr>
            </w:pPr>
          </w:p>
        </w:tc>
      </w:tr>
      <w:tr>
        <w:trPr>
          <w:trHeight w:val="166"/>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White Mountains’s common shareholders’ equity</w:t>
            </w: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White Mountains’s common shares at $1 par value per share - authorized 50,000,000</w:t>
            </w:r>
          </w:p>
        </w:tc>
        <w:tc>
          <w:tcPr>
            <w:tcW w:w="26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7"/>
        </w:trPr>
        <w:tc>
          <w:tcPr>
            <w:tcW w:w="74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shares; issued and outstanding 2,476,670 and 2,479,677 shares</w:t>
            </w:r>
          </w:p>
        </w:tc>
        <w:tc>
          <w:tcPr>
            <w:tcW w:w="26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Paid-in surplus</w:t>
            </w: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578.8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576.5</w:t>
            </w:r>
          </w:p>
        </w:tc>
        <w:tc>
          <w:tcPr>
            <w:tcW w:w="0" w:type="dxa"/>
            <w:vAlign w:val="bottom"/>
          </w:tcPr>
          <w:p>
            <w:pPr>
              <w:spacing w:after="0"/>
              <w:rPr>
                <w:sz w:val="1"/>
                <w:szCs w:val="1"/>
                <w:color w:val="auto"/>
              </w:rPr>
            </w:pPr>
          </w:p>
        </w:tc>
      </w:tr>
      <w:tr>
        <w:trPr>
          <w:trHeight w:val="203"/>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Retained earnings</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4,790.8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4,845.6</w:t>
            </w:r>
          </w:p>
        </w:tc>
        <w:tc>
          <w:tcPr>
            <w:tcW w:w="0" w:type="dxa"/>
            <w:vAlign w:val="bottom"/>
          </w:tcPr>
          <w:p>
            <w:pPr>
              <w:spacing w:after="0"/>
              <w:rPr>
                <w:sz w:val="1"/>
                <w:szCs w:val="1"/>
                <w:color w:val="auto"/>
              </w:rPr>
            </w:pPr>
          </w:p>
        </w:tc>
      </w:tr>
      <w:tr>
        <w:trPr>
          <w:trHeight w:val="202"/>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Accumulated other comprehensive income (loss), after-tax:</w:t>
            </w: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Net unrealized gains (losses) from foreign currency translation</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3"/>
        </w:trPr>
        <w:tc>
          <w:tcPr>
            <w:tcW w:w="74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Total White Mountains’s common shareholders’ equity</w:t>
            </w: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60" w:type="dxa"/>
            <w:vAlign w:val="bottom"/>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5,373.5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5,425.4</w:t>
            </w:r>
          </w:p>
        </w:tc>
        <w:tc>
          <w:tcPr>
            <w:tcW w:w="0" w:type="dxa"/>
            <w:vAlign w:val="bottom"/>
          </w:tcPr>
          <w:p>
            <w:pPr>
              <w:spacing w:after="0"/>
              <w:rPr>
                <w:sz w:val="1"/>
                <w:szCs w:val="1"/>
                <w:color w:val="auto"/>
              </w:rPr>
            </w:pPr>
          </w:p>
        </w:tc>
      </w:tr>
      <w:tr>
        <w:trPr>
          <w:trHeight w:val="196"/>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Nonredeemable noncontrolling interests</w:t>
            </w: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671.0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698.2</w:t>
            </w:r>
          </w:p>
        </w:tc>
        <w:tc>
          <w:tcPr>
            <w:tcW w:w="0" w:type="dxa"/>
            <w:vAlign w:val="bottom"/>
          </w:tcPr>
          <w:p>
            <w:pPr>
              <w:spacing w:after="0"/>
              <w:rPr>
                <w:sz w:val="1"/>
                <w:szCs w:val="1"/>
                <w:color w:val="auto"/>
              </w:rPr>
            </w:pPr>
          </w:p>
        </w:tc>
      </w:tr>
      <w:tr>
        <w:trPr>
          <w:trHeight w:val="196"/>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6,044.5</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6,123.6</w:t>
            </w:r>
          </w:p>
        </w:tc>
        <w:tc>
          <w:tcPr>
            <w:tcW w:w="0" w:type="dxa"/>
            <w:vAlign w:val="bottom"/>
          </w:tcPr>
          <w:p>
            <w:pPr>
              <w:spacing w:after="0"/>
              <w:rPr>
                <w:sz w:val="1"/>
                <w:szCs w:val="1"/>
                <w:color w:val="auto"/>
              </w:rPr>
            </w:pPr>
          </w:p>
        </w:tc>
      </w:tr>
      <w:tr>
        <w:trPr>
          <w:trHeight w:val="196"/>
        </w:trPr>
        <w:tc>
          <w:tcPr>
            <w:tcW w:w="7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redeemable noncontrolling interests and equity</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13,168.9</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12,306.5</w:t>
            </w:r>
          </w:p>
        </w:tc>
        <w:tc>
          <w:tcPr>
            <w:tcW w:w="0" w:type="dxa"/>
            <w:vAlign w:val="bottom"/>
          </w:tcPr>
          <w:p>
            <w:pPr>
              <w:spacing w:after="0"/>
              <w:rPr>
                <w:sz w:val="1"/>
                <w:szCs w:val="1"/>
                <w:color w:val="auto"/>
              </w:rPr>
            </w:pPr>
          </w:p>
        </w:tc>
      </w:tr>
      <w:tr>
        <w:trPr>
          <w:trHeight w:val="27"/>
        </w:trPr>
        <w:tc>
          <w:tcPr>
            <w:tcW w:w="7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5560" w:right="2340" w:hanging="5570"/>
        <w:spacing w:after="0"/>
        <w:rPr>
          <w:sz w:val="20"/>
          <w:szCs w:val="20"/>
          <w:color w:val="auto"/>
        </w:rPr>
      </w:pPr>
      <w:r>
        <w:rPr>
          <w:rFonts w:ascii="Times New Roman" w:cs="Times New Roman" w:eastAsia="Times New Roman" w:hAnsi="Times New Roman"/>
          <w:sz w:val="14"/>
          <w:szCs w:val="14"/>
          <w:color w:val="auto"/>
        </w:rPr>
        <w:t xml:space="preserve">See Notes to Consolidated Financial Statements including </w:t>
      </w:r>
      <w:r>
        <w:rPr>
          <w:rFonts w:ascii="Times New Roman" w:cs="Times New Roman" w:eastAsia="Times New Roman" w:hAnsi="Times New Roman"/>
          <w:sz w:val="14"/>
          <w:szCs w:val="14"/>
          <w:b w:val="1"/>
          <w:bCs w:val="1"/>
          <w:color w:val="auto"/>
        </w:rPr>
        <w:t>Note 13 — “Noncontrolling Interests”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color w:val="auto"/>
        </w:rPr>
        <w:t>Note 18 — “Commitments and Contingencies.”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135890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7"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WHITE MOUNTAINS INSURANCE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2780" w:type="dxa"/>
            <w:vAlign w:val="bottom"/>
            <w:tcBorders>
              <w:top w:val="single" w:sz="8" w:color="auto"/>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Pr>
          <w:p>
            <w:pPr>
              <w:spacing w:after="0"/>
              <w:rPr>
                <w:sz w:val="17"/>
                <w:szCs w:val="17"/>
                <w:color w:val="auto"/>
              </w:rPr>
            </w:pPr>
          </w:p>
        </w:tc>
        <w:tc>
          <w:tcPr>
            <w:tcW w:w="118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1"/>
        </w:trPr>
        <w:tc>
          <w:tcPr>
            <w:tcW w:w="8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14"/>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P&amp;C Insurance and Reinsurance (Ark/WM Outrigger)</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Earned insurance premiums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373.8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358.0</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investment income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realized and unrealized investment gains (losses)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r>
      <w:tr>
        <w:trPr>
          <w:trHeight w:val="216"/>
        </w:trPr>
        <w:tc>
          <w:tcPr>
            <w:tcW w:w="81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 revenues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2"/>
        </w:trPr>
        <w:tc>
          <w:tcPr>
            <w:tcW w:w="8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P&amp;C Insurance and Reinsurance revenues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376.3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413.2</w:t>
            </w:r>
          </w:p>
        </w:tc>
      </w:tr>
      <w:tr>
        <w:trPr>
          <w:trHeight w:val="248"/>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Asset Management (Kudu)</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investment income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realized and unrealized investment gains (losses)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revenues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2"/>
        </w:trPr>
        <w:tc>
          <w:tcPr>
            <w:tcW w:w="8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Asset Management revenues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w:t>
            </w:r>
          </w:p>
        </w:tc>
      </w:tr>
      <w:tr>
        <w:trPr>
          <w:trHeight w:val="248"/>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Financial Guarantee (HG Global)</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Earned insurance premiums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investment income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realized and unrealized investment gains (losses)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income from BAM Surplus Notes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revenues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8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Financial Guarantee revenues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w:t>
            </w:r>
          </w:p>
        </w:tc>
      </w:tr>
      <w:tr>
        <w:trPr>
          <w:trHeight w:val="248"/>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Specialty Insurance Distribution (Distinguished)</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Commission and fee revenues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revenues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Specialty Insurance Distribution revenues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8"/>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P&amp;C Insurance Distribution (Bamboo)</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Commission and fee revenues</w:t>
            </w:r>
          </w:p>
        </w:tc>
        <w:tc>
          <w:tcPr>
            <w:tcW w:w="3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Earned insurance premiums</w:t>
            </w:r>
          </w:p>
        </w:tc>
        <w:tc>
          <w:tcPr>
            <w:tcW w:w="3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revenues</w:t>
            </w:r>
          </w:p>
        </w:tc>
        <w:tc>
          <w:tcPr>
            <w:tcW w:w="3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2"/>
        </w:trPr>
        <w:tc>
          <w:tcPr>
            <w:tcW w:w="8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P&amp;C Insurance Distribution revenues</w:t>
            </w: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w:t>
            </w:r>
          </w:p>
        </w:tc>
      </w:tr>
      <w:tr>
        <w:trPr>
          <w:trHeight w:val="248"/>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Other Operations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Earned insurance premiums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investment income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realized and unrealized investment gains (losses)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realized and unrealized investment gains (losses) from investment in MediaAlpha</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Commission and fee revenues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gain on sale of the Bamboo Group</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revenues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2"/>
        </w:trPr>
        <w:tc>
          <w:tcPr>
            <w:tcW w:w="8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Other Operations revenues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1"/>
        </w:trPr>
        <w:tc>
          <w:tcPr>
            <w:tcW w:w="81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517.8</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577.8</w:t>
            </w:r>
          </w:p>
        </w:tc>
      </w:tr>
      <w:tr>
        <w:trPr>
          <w:trHeight w:val="22"/>
        </w:trPr>
        <w:tc>
          <w:tcPr>
            <w:tcW w:w="8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WHITE MOUNTAINS INSURANCE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2780" w:type="dxa"/>
            <w:vAlign w:val="bottom"/>
            <w:tcBorders>
              <w:top w:val="single" w:sz="8" w:color="auto"/>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Pr>
          <w:p>
            <w:pPr>
              <w:spacing w:after="0"/>
              <w:rPr>
                <w:sz w:val="17"/>
                <w:szCs w:val="17"/>
                <w:color w:val="auto"/>
              </w:rPr>
            </w:pPr>
          </w:p>
        </w:tc>
        <w:tc>
          <w:tcPr>
            <w:tcW w:w="118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1"/>
        </w:trPr>
        <w:tc>
          <w:tcPr>
            <w:tcW w:w="8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14"/>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P&amp;C Insurance and Reinsurance (Ark/WM Outrigger)</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Loss and loss adjustment expenses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206.7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Acquisition expenses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2"/>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P&amp;C Insurance and Reinsurance expenses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367.1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366.8</w:t>
            </w:r>
          </w:p>
        </w:tc>
      </w:tr>
      <w:tr>
        <w:trPr>
          <w:trHeight w:val="248"/>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Asset Management (Kudu)</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2"/>
        </w:trPr>
        <w:tc>
          <w:tcPr>
            <w:tcW w:w="8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Asset Management expenses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48"/>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Financial Guarantee (HG Global)</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Acquisition expenses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2"/>
        </w:trPr>
        <w:tc>
          <w:tcPr>
            <w:tcW w:w="8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Financial Guarantee expenses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48"/>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Specialty Insurance Distribution (Distinguished)</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Broker commission expenses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8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Specialty Insurance Distribution expenses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8"/>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P&amp;C Insurance Distribution (Bamboo)</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Broker commission expenses</w:t>
            </w:r>
          </w:p>
        </w:tc>
        <w:tc>
          <w:tcPr>
            <w:tcW w:w="3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Loss and loss adjustment expenses</w:t>
            </w:r>
          </w:p>
        </w:tc>
        <w:tc>
          <w:tcPr>
            <w:tcW w:w="3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Acquisition expenses</w:t>
            </w:r>
          </w:p>
        </w:tc>
        <w:tc>
          <w:tcPr>
            <w:tcW w:w="3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2"/>
        </w:trPr>
        <w:tc>
          <w:tcPr>
            <w:tcW w:w="8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P&amp;C Insurance Distribution expenses</w:t>
            </w: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w:t>
            </w:r>
          </w:p>
        </w:tc>
      </w:tr>
      <w:tr>
        <w:trPr>
          <w:trHeight w:val="248"/>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Other Operations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Loss and loss adjustment expenses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Acquisition expenses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Cost of sales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r>
      <w:tr>
        <w:trPr>
          <w:trHeight w:val="216"/>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81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Other Operations expenses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w:t>
            </w:r>
          </w:p>
        </w:tc>
      </w:tr>
      <w:tr>
        <w:trPr>
          <w:trHeight w:val="210"/>
        </w:trPr>
        <w:tc>
          <w:tcPr>
            <w:tcW w:w="81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543.3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505.4</w:t>
            </w:r>
          </w:p>
        </w:tc>
      </w:tr>
      <w:tr>
        <w:trPr>
          <w:trHeight w:val="21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Pre-tax income (loss)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w:t>
            </w:r>
          </w:p>
        </w:tc>
      </w:tr>
      <w:tr>
        <w:trPr>
          <w:trHeight w:val="214"/>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2"/>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r>
      <w:tr>
        <w:trPr>
          <w:trHeight w:val="214"/>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14"/>
        </w:trPr>
        <w:tc>
          <w:tcPr>
            <w:tcW w:w="8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White Mountains’s common shareholders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(27.2)</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22"/>
        </w:trPr>
        <w:tc>
          <w:tcPr>
            <w:tcW w:w="8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WHITE MOUNTAINS INSURANCE GROUP, LTD. CONSOLIDATED STATEMENTS OF COMPREHENSIVE INCOME (LOSS) (Unaudited)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810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White Mountains’s common shareholders</w:t>
            </w:r>
          </w:p>
        </w:tc>
        <w:tc>
          <w:tcPr>
            <w:tcW w:w="960" w:type="dxa"/>
            <w:vAlign w:val="bottom"/>
            <w:gridSpan w:val="2"/>
          </w:tcPr>
          <w:p>
            <w:pPr>
              <w:jc w:val="right"/>
              <w:ind w:right="78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848"/>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attributable to noncontrolling interests</w:t>
            </w:r>
          </w:p>
        </w:tc>
        <w:tc>
          <w:tcPr>
            <w:tcW w:w="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 attributable to White Mountains’s common shareholders</w:t>
            </w:r>
          </w:p>
        </w:tc>
        <w:tc>
          <w:tcPr>
            <w:tcW w:w="960" w:type="dxa"/>
            <w:vAlign w:val="bottom"/>
            <w:tcBorders>
              <w:bottom w:val="single" w:sz="8" w:color="auto"/>
            </w:tcBorders>
            <w:gridSpan w:val="2"/>
          </w:tcPr>
          <w:p>
            <w:pPr>
              <w:jc w:val="right"/>
              <w:ind w:right="78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848"/>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Earnings (loss) per share attributable to White Mountains’s common shareholders:</w:t>
            </w:r>
          </w:p>
        </w:tc>
        <w:tc>
          <w:tcPr>
            <w:tcW w:w="960" w:type="dxa"/>
            <w:vAlign w:val="bottom"/>
            <w:gridSpan w:val="2"/>
            <w:vMerge w:val="restart"/>
          </w:tcPr>
          <w:p>
            <w:pPr>
              <w:jc w:val="right"/>
              <w:ind w:right="768"/>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(12.59)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Basic earnings (loss) per share</w:t>
            </w:r>
          </w:p>
        </w:tc>
        <w:tc>
          <w:tcPr>
            <w:tcW w:w="96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828"/>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960" w:type="dxa"/>
            <w:vAlign w:val="bottom"/>
            <w:gridSpan w:val="2"/>
          </w:tcPr>
          <w:p>
            <w:pPr>
              <w:jc w:val="right"/>
              <w:ind w:right="768"/>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828"/>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8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Dividends declared and paid per White Mountains’s common share</w:t>
            </w:r>
          </w:p>
        </w:tc>
        <w:tc>
          <w:tcPr>
            <w:tcW w:w="960" w:type="dxa"/>
            <w:vAlign w:val="bottom"/>
            <w:tcBorders>
              <w:bottom w:val="single" w:sz="8" w:color="auto"/>
            </w:tcBorders>
            <w:gridSpan w:val="2"/>
          </w:tcPr>
          <w:p>
            <w:pPr>
              <w:jc w:val="right"/>
              <w:ind w:right="768"/>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828"/>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WHITE MOUNTAINS INSURANCE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200" w:type="dxa"/>
            <w:vAlign w:val="bottom"/>
            <w:tcBorders>
              <w:top w:val="single" w:sz="8" w:color="auto"/>
              <w:bottom w:val="single" w:sz="8" w:color="auto"/>
            </w:tcBorders>
            <w:gridSpan w:val="11"/>
          </w:tcPr>
          <w:p>
            <w:pPr>
              <w:ind w:left="480"/>
              <w:spacing w:after="0"/>
              <w:rPr>
                <w:sz w:val="20"/>
                <w:szCs w:val="20"/>
                <w:color w:val="auto"/>
              </w:rPr>
            </w:pPr>
            <w:r>
              <w:rPr>
                <w:rFonts w:ascii="Times New Roman" w:cs="Times New Roman" w:eastAsia="Times New Roman" w:hAnsi="Times New Roman"/>
                <w:sz w:val="14"/>
                <w:szCs w:val="14"/>
                <w:b w:val="1"/>
                <w:bCs w:val="1"/>
                <w:color w:val="auto"/>
              </w:rPr>
              <w:t>White Mountains’s Common Shareholders’ Equity</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AOCI, after</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Nonredeemable</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88"/>
              <w:spacing w:after="0" w:line="135"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48"/>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 and</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140" w:type="dxa"/>
            <w:vAlign w:val="bottom"/>
          </w:tcPr>
          <w:p>
            <w:pPr>
              <w:spacing w:after="0"/>
              <w:rPr>
                <w:sz w:val="12"/>
                <w:szCs w:val="12"/>
                <w:color w:val="auto"/>
              </w:rPr>
            </w:pPr>
          </w:p>
        </w:tc>
        <w:tc>
          <w:tcPr>
            <w:tcW w:w="11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96"/>
        </w:trPr>
        <w:tc>
          <w:tcPr>
            <w:tcW w:w="3140" w:type="dxa"/>
            <w:vAlign w:val="bottom"/>
            <w:gridSpan w:val="2"/>
            <w:vMerge w:val="continue"/>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surplus</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tax</w:t>
            </w:r>
          </w:p>
        </w:tc>
        <w:tc>
          <w:tcPr>
            <w:tcW w:w="2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96"/>
        </w:trPr>
        <w:tc>
          <w:tcPr>
            <w:tcW w:w="3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January 1, 2026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579.0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4,845.6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5,425.4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698.2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6,123.6</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131.5</w:t>
            </w:r>
          </w:p>
        </w:tc>
        <w:tc>
          <w:tcPr>
            <w:tcW w:w="0" w:type="dxa"/>
            <w:vAlign w:val="bottom"/>
          </w:tcPr>
          <w:p>
            <w:pPr>
              <w:spacing w:after="0"/>
              <w:rPr>
                <w:sz w:val="1"/>
                <w:szCs w:val="1"/>
                <w:color w:val="auto"/>
              </w:rPr>
            </w:pPr>
          </w:p>
        </w:tc>
      </w:tr>
      <w:tr>
        <w:trPr>
          <w:trHeight w:val="19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c>
          <w:tcPr>
            <w:tcW w:w="0" w:type="dxa"/>
            <w:vAlign w:val="bottom"/>
          </w:tcPr>
          <w:p>
            <w:pPr>
              <w:spacing w:after="0"/>
              <w:rPr>
                <w:sz w:val="1"/>
                <w:szCs w:val="1"/>
                <w:color w:val="auto"/>
              </w:rPr>
            </w:pPr>
          </w:p>
        </w:tc>
      </w:tr>
      <w:tr>
        <w:trPr>
          <w:trHeight w:val="147"/>
        </w:trPr>
        <w:tc>
          <w:tcPr>
            <w:tcW w:w="314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31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of tax</w:t>
            </w: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(21.4)</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c>
          <w:tcPr>
            <w:tcW w:w="0" w:type="dxa"/>
            <w:vAlign w:val="bottom"/>
          </w:tcPr>
          <w:p>
            <w:pPr>
              <w:spacing w:after="0"/>
              <w:rPr>
                <w:sz w:val="1"/>
                <w:szCs w:val="1"/>
                <w:color w:val="auto"/>
              </w:rPr>
            </w:pPr>
          </w:p>
        </w:tc>
      </w:tr>
      <w:tr>
        <w:trPr>
          <w:trHeight w:val="19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declared on common shares</w:t>
            </w: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declared to noncontrolling interests</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31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color w:val="auto"/>
              </w:rPr>
              <w:t>Repurchases and retirements of</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(25.9)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(25.9)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31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common shares</w:t>
            </w: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Amortization of restricted share awards</w:t>
            </w: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31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color w:val="auto"/>
              </w:rPr>
              <w:t>Recognition of equity-based</w:t>
            </w:r>
          </w:p>
        </w:tc>
        <w:tc>
          <w:tcPr>
            <w:tcW w:w="120" w:type="dxa"/>
            <w:vAlign w:val="bottom"/>
          </w:tcPr>
          <w:p>
            <w:pPr>
              <w:spacing w:after="0"/>
              <w:rPr>
                <w:sz w:val="13"/>
                <w:szCs w:val="13"/>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31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compensation expense of subsidiaries</w:t>
            </w: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Net contributions (distributions) and</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4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dilution from other noncontrolling</w:t>
            </w:r>
          </w:p>
        </w:tc>
        <w:tc>
          <w:tcPr>
            <w:tcW w:w="120" w:type="dxa"/>
            <w:vAlign w:val="bottom"/>
          </w:tcPr>
          <w:p>
            <w:pPr>
              <w:spacing w:after="0"/>
              <w:rPr>
                <w:sz w:val="12"/>
                <w:szCs w:val="12"/>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(21.9)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(19.4)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31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1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color w:val="auto"/>
              </w:rPr>
              <w:t>Adjustments of redeemable</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c>
          <w:tcPr>
            <w:tcW w:w="0" w:type="dxa"/>
            <w:vAlign w:val="bottom"/>
          </w:tcPr>
          <w:p>
            <w:pPr>
              <w:spacing w:after="0"/>
              <w:rPr>
                <w:sz w:val="1"/>
                <w:szCs w:val="1"/>
                <w:color w:val="auto"/>
              </w:rPr>
            </w:pPr>
          </w:p>
        </w:tc>
      </w:tr>
      <w:tr>
        <w:trPr>
          <w:trHeight w:val="188"/>
        </w:trPr>
        <w:tc>
          <w:tcPr>
            <w:tcW w:w="31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Acquisition of noncontrolling interests</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March 31, 2026</w:t>
            </w: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581.3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4,790.8</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5,373.5</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671.0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6,044.5</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131.5</w:t>
            </w:r>
          </w:p>
        </w:tc>
        <w:tc>
          <w:tcPr>
            <w:tcW w:w="0" w:type="dxa"/>
            <w:vAlign w:val="bottom"/>
          </w:tcPr>
          <w:p>
            <w:pPr>
              <w:spacing w:after="0"/>
              <w:rPr>
                <w:sz w:val="1"/>
                <w:szCs w:val="1"/>
                <w:color w:val="auto"/>
              </w:rPr>
            </w:pPr>
          </w:p>
        </w:tc>
      </w:tr>
      <w:tr>
        <w:trPr>
          <w:trHeight w:val="27"/>
        </w:trPr>
        <w:tc>
          <w:tcPr>
            <w:tcW w:w="3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200" w:type="dxa"/>
            <w:vAlign w:val="bottom"/>
            <w:tcBorders>
              <w:top w:val="single" w:sz="8" w:color="auto"/>
              <w:bottom w:val="single" w:sz="8" w:color="auto"/>
            </w:tcBorders>
            <w:gridSpan w:val="9"/>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White Mountains’s Common Shareholders’ Equity</w:t>
            </w:r>
          </w:p>
        </w:tc>
        <w:tc>
          <w:tcPr>
            <w:tcW w:w="9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3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Nonredeemable</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and paid-in</w:t>
            </w: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00" w:type="dxa"/>
            <w:vAlign w:val="bottom"/>
          </w:tcPr>
          <w:p>
            <w:pPr>
              <w:spacing w:after="0"/>
              <w:rPr>
                <w:sz w:val="12"/>
                <w:szCs w:val="12"/>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AOCI, after tax</w:t>
            </w:r>
          </w:p>
        </w:tc>
        <w:tc>
          <w:tcPr>
            <w:tcW w:w="300" w:type="dxa"/>
            <w:vAlign w:val="bottom"/>
          </w:tcPr>
          <w:p>
            <w:pPr>
              <w:spacing w:after="0"/>
              <w:rPr>
                <w:sz w:val="12"/>
                <w:szCs w:val="12"/>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2"/>
                <w:szCs w:val="12"/>
                <w:color w:val="auto"/>
              </w:rPr>
            </w:pPr>
          </w:p>
        </w:tc>
        <w:tc>
          <w:tcPr>
            <w:tcW w:w="10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5"/>
        </w:trPr>
        <w:tc>
          <w:tcPr>
            <w:tcW w:w="3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surplus</w:t>
            </w:r>
          </w:p>
        </w:tc>
        <w:tc>
          <w:tcPr>
            <w:tcW w:w="13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January 1, 2025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566.4</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3,919.0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4,483.7</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647.3</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5,131.0</w:t>
            </w:r>
          </w:p>
        </w:tc>
        <w:tc>
          <w:tcPr>
            <w:tcW w:w="0" w:type="dxa"/>
            <w:vAlign w:val="bottom"/>
          </w:tcPr>
          <w:p>
            <w:pPr>
              <w:spacing w:after="0"/>
              <w:rPr>
                <w:sz w:val="1"/>
                <w:szCs w:val="1"/>
                <w:color w:val="auto"/>
              </w:rPr>
            </w:pPr>
          </w:p>
        </w:tc>
      </w:tr>
      <w:tr>
        <w:trPr>
          <w:trHeight w:val="188"/>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rPr>
                <w:sz w:val="1"/>
                <w:szCs w:val="1"/>
                <w:color w:val="auto"/>
              </w:rPr>
            </w:pPr>
          </w:p>
        </w:tc>
      </w:tr>
      <w:tr>
        <w:trPr>
          <w:trHeight w:val="154"/>
        </w:trPr>
        <w:tc>
          <w:tcPr>
            <w:tcW w:w="320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2"/>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of tax</w:t>
            </w: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0" w:type="dxa"/>
            <w:vAlign w:val="bottom"/>
          </w:tcPr>
          <w:p>
            <w:pPr>
              <w:spacing w:after="0"/>
              <w:rPr>
                <w:sz w:val="1"/>
                <w:szCs w:val="1"/>
                <w:color w:val="auto"/>
              </w:rPr>
            </w:pPr>
          </w:p>
        </w:tc>
      </w:tr>
      <w:tr>
        <w:trPr>
          <w:trHeight w:val="188"/>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declared on common shares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declared to noncontrolling interests</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6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Repurchases and retirements of</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88"/>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common shares</w:t>
            </w: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Amortization of restricted share awards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6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Recognition of equity-based</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8"/>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compensation expense of subsidiaries</w:t>
            </w: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Net contributions (distributions) and</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dilution from other noncontrolling</w:t>
            </w: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92"/>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March 31,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567.1</w:t>
            </w:r>
          </w:p>
        </w:tc>
        <w:tc>
          <w:tcPr>
            <w:tcW w:w="100" w:type="dxa"/>
            <w:vAlign w:val="bottom"/>
            <w:tcBorders>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3,943.0</w:t>
            </w:r>
          </w:p>
        </w:tc>
        <w:tc>
          <w:tcPr>
            <w:tcW w:w="10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4,509.6</w:t>
            </w:r>
          </w:p>
        </w:tc>
        <w:tc>
          <w:tcPr>
            <w:tcW w:w="1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630.1</w:t>
            </w:r>
          </w:p>
        </w:tc>
        <w:tc>
          <w:tcPr>
            <w:tcW w:w="1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5,139.7</w:t>
            </w:r>
          </w:p>
        </w:tc>
        <w:tc>
          <w:tcPr>
            <w:tcW w:w="0" w:type="dxa"/>
            <w:vAlign w:val="bottom"/>
          </w:tcPr>
          <w:p>
            <w:pPr>
              <w:spacing w:after="0"/>
              <w:rPr>
                <w:sz w:val="1"/>
                <w:szCs w:val="1"/>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WHITE MOUNTAINS INSURANCE GROUP, LTD.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560" w:type="dxa"/>
            <w:vAlign w:val="bottom"/>
            <w:tcBorders>
              <w:top w:val="single" w:sz="8" w:color="auto"/>
              <w:bottom w:val="single" w:sz="8" w:color="auto"/>
            </w:tcBorders>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7"/>
                <w:szCs w:val="17"/>
                <w:color w:val="auto"/>
              </w:rPr>
            </w:pPr>
          </w:p>
        </w:tc>
        <w:tc>
          <w:tcPr>
            <w:tcW w:w="11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0"/>
        </w:trPr>
        <w:tc>
          <w:tcPr>
            <w:tcW w:w="8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operations:</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(26.3)</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rPr>
                <w:sz w:val="1"/>
                <w:szCs w:val="1"/>
                <w:color w:val="auto"/>
              </w:rPr>
            </w:pPr>
          </w:p>
        </w:tc>
      </w:tr>
      <w:tr>
        <w:trPr>
          <w:trHeight w:val="203"/>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from (used for) operations: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realized and unrealized investment (gains) losses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realized and unrealized investment (gains) losses from investment in MediaAlpha</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gain on sale of the Bamboo Group</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Change in fair value of Ark’s contingent consideration</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Interest income from BAM Surplus Notes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Deferred income tax expense (benefit)</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 of restricted share awards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 (accretion) and depreciation</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operating items: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change in reinsurance recoverables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(343.2)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(331.4)</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change in insurance premiums, commissions and fees receivable</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(455.6)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(504.2)</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change in deferred acquisition costs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w:t>
            </w:r>
          </w:p>
        </w:tc>
        <w:tc>
          <w:tcPr>
            <w:tcW w:w="0" w:type="dxa"/>
            <w:vAlign w:val="bottom"/>
          </w:tcPr>
          <w:p>
            <w:pPr>
              <w:spacing w:after="0"/>
              <w:rPr>
                <w:sz w:val="1"/>
                <w:szCs w:val="1"/>
                <w:color w:val="auto"/>
              </w:rPr>
            </w:pPr>
          </w:p>
        </w:tc>
      </w:tr>
      <w:tr>
        <w:trPr>
          <w:trHeight w:val="202"/>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change in loss and loss adjustment expense reserves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103.2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change in unearned insurance premiums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589.2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650.3</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change in reinsurance payable</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324.1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236.3</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change in premiums and commissions payable</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change in accrued incentive compensation from Other Operations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Contributions to Kudu’s Participation Contracts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other operating activities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(57.1)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3"/>
        </w:trPr>
        <w:tc>
          <w:tcPr>
            <w:tcW w:w="8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Net cash provided from (used for) operations</w:t>
            </w: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0" w:type="dxa"/>
            <w:vAlign w:val="bottom"/>
          </w:tcPr>
          <w:p>
            <w:pPr>
              <w:spacing w:after="0"/>
              <w:rPr>
                <w:sz w:val="1"/>
                <w:szCs w:val="1"/>
                <w:color w:val="auto"/>
              </w:rPr>
            </w:pPr>
          </w:p>
        </w:tc>
      </w:tr>
      <w:tr>
        <w:trPr>
          <w:trHeight w:val="190"/>
        </w:trPr>
        <w:tc>
          <w:tcPr>
            <w:tcW w:w="8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change in short-term investments</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384.1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Sales of fixed maturity investments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145.1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Maturities, calls and paydowns of fixed maturity investments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143.8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Sales of common equity securities and investment in MediaAlpha</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Distributions and redemptions of other long-term investments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Release of cash (pre-funding) of investment purchases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Proceeds from the sale of Bamboo Group</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Purchases of fixed maturity investments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(425.4)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(222.5)</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Purchases of common equity securities and investment in MediaAlpha</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Purchases of other long-term investments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(217.7)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other investing activities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23"/>
        </w:trPr>
        <w:tc>
          <w:tcPr>
            <w:tcW w:w="8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Net cash provided from (used for) investing activities</w:t>
            </w: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90"/>
        </w:trPr>
        <w:tc>
          <w:tcPr>
            <w:tcW w:w="8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Draw down of debt and revolving lines of credit</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Repayment of debt and revolving lines of credit</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Cash dividends paid to common shareholders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Repurchases and retirements of common shares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Contributions from other noncontrolling interests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Distributions to other noncontrolling interests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0" w:type="dxa"/>
            <w:vAlign w:val="bottom"/>
          </w:tcPr>
          <w:p>
            <w:pPr>
              <w:spacing w:after="0"/>
              <w:rPr>
                <w:sz w:val="1"/>
                <w:szCs w:val="1"/>
                <w:color w:val="auto"/>
              </w:rPr>
            </w:pPr>
          </w:p>
        </w:tc>
      </w:tr>
      <w:tr>
        <w:trPr>
          <w:trHeight w:val="203"/>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other financing activities</w:t>
            </w:r>
          </w:p>
        </w:tc>
        <w:tc>
          <w:tcPr>
            <w:tcW w:w="2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23"/>
        </w:trPr>
        <w:tc>
          <w:tcPr>
            <w:tcW w:w="8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Net cash provided from (used for) financing activities</w:t>
            </w: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0" w:type="dxa"/>
            <w:vAlign w:val="bottom"/>
          </w:tcPr>
          <w:p>
            <w:pPr>
              <w:spacing w:after="0"/>
              <w:rPr>
                <w:sz w:val="1"/>
                <w:szCs w:val="1"/>
                <w:color w:val="auto"/>
              </w:rPr>
            </w:pPr>
          </w:p>
        </w:tc>
      </w:tr>
      <w:tr>
        <w:trPr>
          <w:trHeight w:val="190"/>
        </w:trPr>
        <w:tc>
          <w:tcPr>
            <w:tcW w:w="8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Net change in cash during the period</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(48.6)</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0" w:type="dxa"/>
            <w:vAlign w:val="bottom"/>
          </w:tcPr>
          <w:p>
            <w:pPr>
              <w:spacing w:after="0"/>
              <w:rPr>
                <w:sz w:val="1"/>
                <w:szCs w:val="1"/>
                <w:color w:val="auto"/>
              </w:rPr>
            </w:pPr>
          </w:p>
        </w:tc>
      </w:tr>
      <w:tr>
        <w:trPr>
          <w:trHeight w:val="150"/>
        </w:trPr>
        <w:tc>
          <w:tcPr>
            <w:tcW w:w="8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balance at beginning of period (includes restricted cash balances of $1.2 and $14.1, unrestricted cash held for sale of $0.7 and</w:t>
            </w:r>
          </w:p>
        </w:tc>
        <w:tc>
          <w:tcPr>
            <w:tcW w:w="2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185.6</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0" w:type="dxa"/>
            <w:vAlign w:val="bottom"/>
          </w:tcPr>
          <w:p>
            <w:pPr>
              <w:spacing w:after="0"/>
              <w:rPr>
                <w:sz w:val="1"/>
                <w:szCs w:val="1"/>
                <w:color w:val="auto"/>
              </w:rPr>
            </w:pPr>
          </w:p>
        </w:tc>
      </w:tr>
      <w:tr>
        <w:trPr>
          <w:trHeight w:val="194"/>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$16.0 and restricted cash held for sale of $0.0 and $59.5)</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830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Cash balance at end of period (includes restricted cash balances of $3.1 and $0.0, unrestricted cash held for sale of $1.1 and $23.0</w:t>
            </w: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137.0</w:t>
            </w:r>
          </w:p>
        </w:tc>
        <w:tc>
          <w:tcPr>
            <w:tcW w:w="120" w:type="dxa"/>
            <w:vAlign w:val="bottom"/>
          </w:tcPr>
          <w:p>
            <w:pPr>
              <w:spacing w:after="0"/>
              <w:rPr>
                <w:sz w:val="10"/>
                <w:szCs w:val="10"/>
                <w:color w:val="auto"/>
              </w:rPr>
            </w:pPr>
          </w:p>
        </w:tc>
        <w:tc>
          <w:tcPr>
            <w:tcW w:w="3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312.0</w:t>
            </w:r>
          </w:p>
        </w:tc>
        <w:tc>
          <w:tcPr>
            <w:tcW w:w="0" w:type="dxa"/>
            <w:vAlign w:val="bottom"/>
          </w:tcPr>
          <w:p>
            <w:pPr>
              <w:spacing w:after="0"/>
              <w:rPr>
                <w:sz w:val="1"/>
                <w:szCs w:val="1"/>
                <w:color w:val="auto"/>
              </w:rPr>
            </w:pPr>
          </w:p>
        </w:tc>
      </w:tr>
      <w:tr>
        <w:trPr>
          <w:trHeight w:val="195"/>
        </w:trPr>
        <w:tc>
          <w:tcPr>
            <w:tcW w:w="8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and restricted cash held for sale of $— and $77.0)</w:t>
            </w:r>
          </w:p>
        </w:tc>
        <w:tc>
          <w:tcPr>
            <w:tcW w:w="2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Supplemental cash flows information:</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(18.1)</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203"/>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tax payments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c>
          <w:tcPr>
            <w:tcW w:w="12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4"/>
        </w:trPr>
        <w:tc>
          <w:tcPr>
            <w:tcW w:w="8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603"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Basis of Presentation and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White Mountains Insurance Group, Ltd. (the “Company” or the “Registrant”) is an exempted Bermuda limited liability company whose principal businesses are conducted through its subsidiaries and other affiliates. The Company’s headquarters is located at 26 Reid Street, Hamilton, Bermuda HM 11, its principal executive office is located at 23 South Main Street, Suite 3B, Hanover, New Hampshire 03755-2053 and its registered office is located at Clarendon House, 2 Church Street, Hamilton, Bermuda HM 11. The Company’s website is www.whitemountains.com. The information contained on the Company’s website is not incorporated by reference into, and is not a part of, this report.</w:t>
      </w:r>
    </w:p>
    <w:p>
      <w:pPr>
        <w:spacing w:after="0" w:line="3"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(“GAAP”) and include the accounts of the Company, its subsidiaries (collectively with the Company, “White Mountains”) and other entities required to be consolidated under GAAP. Intercompany transactions have been eliminated in consolidation. Certain amounts in the prior period financial statements have been reclassified to conform to the current presentation.</w:t>
      </w:r>
    </w:p>
    <w:p>
      <w:pPr>
        <w:spacing w:after="0" w:line="2"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These interim financial statements include all adjustments considered necessary by management to fairly state the financial position, results of operations and cash flows of White Mountains. These interim financial statements may not be indicative of financial results for the full year and should be read in conjunction with the Company’s 2025 Annual Report on Form 10-K.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White Mountains conducted its operations through four reportable segments: (1) Ark/WM Outrigger, (2) Kudu, (3) HG Global and</w:t>
      </w:r>
    </w:p>
    <w:p>
      <w:pPr>
        <w:spacing w:after="0" w:line="9" w:lineRule="exact"/>
        <w:rPr>
          <w:sz w:val="20"/>
          <w:szCs w:val="20"/>
          <w:color w:val="auto"/>
        </w:rPr>
      </w:pPr>
    </w:p>
    <w:p>
      <w:pPr>
        <w:ind w:right="180" w:firstLine="8"/>
        <w:spacing w:after="0" w:line="250"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Distinguished, with its remaining operating businesses, holding companies and other assets included in Other Operations. White Mountains has made its segment determination based on consideration of the following criteria: (i) the nature of the business activities of each of the Company’s subsidiaries and affiliates; (ii) the manner in which the Company’s subsidiaries and affiliates are organized; (iii) the existence of primary managers responsible for specific subsidiaries and affiliates; and (iv) the organization of information provided to the Company’s chief operating decision maker (“CODM”) and its Board of Directors. See </w:t>
      </w:r>
      <w:r>
        <w:rPr>
          <w:rFonts w:ascii="Times New Roman" w:cs="Times New Roman" w:eastAsia="Times New Roman" w:hAnsi="Times New Roman"/>
          <w:sz w:val="18"/>
          <w:szCs w:val="18"/>
          <w:b w:val="1"/>
          <w:bCs w:val="1"/>
          <w:color w:val="auto"/>
        </w:rPr>
        <w:t>Note 14 — “Segment Information.”</w:t>
      </w:r>
    </w:p>
    <w:p>
      <w:pPr>
        <w:spacing w:after="0" w:line="1" w:lineRule="exact"/>
        <w:rPr>
          <w:rFonts w:ascii="Times New Roman" w:cs="Times New Roman" w:eastAsia="Times New Roman" w:hAnsi="Times New Roman"/>
          <w:sz w:val="18"/>
          <w:szCs w:val="18"/>
          <w:color w:val="auto"/>
        </w:rPr>
      </w:pPr>
    </w:p>
    <w:p>
      <w:pPr>
        <w:ind w:right="14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Ark/WM Outrigger segment consists of Ark Insurance Holdings Limited and its subsidiaries (collectively, “Ark”) and Outrigger Re Ltd. Segregated Account 2023-1 (“WM Outrigger Re”) (collectively with Ark, “Ark/WM Outrigger”). Ark is a specialty property and casualty insurance and reinsurance company that offers a wide range of niche insurance and reinsurance products, including property, specialty, marine &amp; energy, casualty and accident &amp; health. Ark underwrites select coverages through Lloyd’s Syndicates 4020 and 3902 and Additional Central Settlement Number (“ACSN”) 3832 (collectively, the “Syndicates”) and its wholly-owned subsidiary Group Ark Insurance Limited (“GAIL”). As of March 31, 2026 and December 31, 2025, White Mountains owned 72.1% and 72.1% of Ark on a basic shares outstanding basis (62.5% and 61.9% after taking account of management’s equity incentives). The remaining shares are owned by current and former employees of Ark. In the future, management rollover shareholders could earn additional shares in Ark if and to the extent that White Mountains achieves certain thresholds for its multiple of invested capital (“MOIC”) return. If fully earned, these shares would represent an additional 12.4% of the shares outstanding as of March 31, 2026, and White Mountains would own 53.6% of Ark on a fully-diluted/fully-converted basis. The liability related to these additional shares is recorded as contingent consideration.</w:t>
      </w:r>
    </w:p>
    <w:p>
      <w:pPr>
        <w:ind w:right="60"/>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Outrigger Re Ltd. is a Bermuda special purpose insurer and segregated accounts company that provides collateralized reinsurance protection on Ark’s Bermuda global property catastrophe excess of loss portfolio for underwriting years beginning in 2023. As of March 31, 2026 and December 31, 2025, White Mountains owned 100.0% of the preferred equity of its segregated cell, WM Outrigger Re, which participated in the 2023 through 2025 underwriting years. White Mountains consolidates WM Outrigger Re in its financial statements. During the fourth quarter of 2025, Ark renewed Outrigger Re Ltd. for the 2026 underwriting year with $70.0 million of unaffiliated third-party capital. Ark increased its use of traditional quota share reinsurance for 2026, reducing the need for capacity from Outrigger Re Ltd. In the first quarter of 2026, White Mountains received $138.8 million of distributions, which included a return of capital related to its non-renewal for the 2026 underwriting year.</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0" w:name="page11"/>
    <w:bookmarkEnd w:id="10"/>
    <w:p>
      <w:pPr>
        <w:spacing w:after="0" w:line="253" w:lineRule="auto"/>
        <w:rPr>
          <w:sz w:val="20"/>
          <w:szCs w:val="20"/>
          <w:color w:val="auto"/>
        </w:rPr>
      </w:pPr>
      <w:r>
        <w:rPr>
          <w:rFonts w:ascii="Times New Roman" w:cs="Times New Roman" w:eastAsia="Times New Roman" w:hAnsi="Times New Roman"/>
          <w:sz w:val="18"/>
          <w:szCs w:val="18"/>
          <w:color w:val="auto"/>
        </w:rPr>
        <w:t>The Kudu segment consists of Kudu Investment Management, LLC and its subsidiaries (collectively, “Kudu”). Kudu provides capital solutions for boutique asset and wealth managers for a variety of purposes including generational ownership transfers, management buyouts, acquisition and growth finance and legacy partner liquidity. Kudu also provides strategic advice to managers from time to time. Kudu’s capital solutions are generally structured as noncontrolling equity interests in the form of revenue and earnings participation contracts (“Participation Contracts”) and designed to generate immediate cash yields. As of March 31, 2026 and December 31, 2025, White Mountains owned 91.3% and 91.2% of Kudu’s basic units outstanding (78.4% and 77.9% on a fully-diluted/fully-converted basis, taking account of management’s equity incentives).</w:t>
      </w:r>
    </w:p>
    <w:p>
      <w:pPr>
        <w:spacing w:after="0" w:line="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HG Global segment consists of HG Global Ltd. and its wholly-owned subsidiaries (collectively, “HG Global”). HG Global was established to fund the startup of Build America Mutual Assurance Company (“BAM”) and, through its reinsurance subsidiary, HG Re Ltd. (“HG Re”), to provide first-loss reinsurance protection of up to 15%-of-par outstanding for each policy assumed from BAM. HG Global, together with its subsidiaries, funded the initial capitalization of BAM through the purchase of $503.0 million of surplus notes issued by BAM (the “BAM Surplus Notes”). As of March 31, 2026 and December 31, 2025, White Mountains owned 96.9% of HG Global’s preferred equity and 88.4% of its common equity.</w:t>
      </w:r>
    </w:p>
    <w:p>
      <w:pPr>
        <w:spacing w:after="0" w:line="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 xml:space="preserve">The Distinguished segment consists of WM Phoenix Parent L.P. and its subsidiaries d/b/a Distinguished Programs (collectively, “Distinguished”). Distinguished is a full-service managing general agent (“MGA”) and program administrator for specialty property and casualty insurance. Distinguished places insurance across a diversified portfolio of programs broadly grouped into two verticals. The ScaleCo vertical consists of established programs, primarily focused on real estate and hospitality end markets. The GrowthCo vertical consists of start-up programs, focused on a diversified set of specialty property and casualty insurance products across multiple industries. On behalf of its insurance carrier partners, Distinguished manages various aspects of the placement process, including product development, marketing, underwriting and policy issuance. Distinguished earns commissions based on the volume and profitability of the insurance that it places. Distinguished does not retain insurance risk. On September 2, 2025, White Mountains acquired a controlling financial interest in Distinguished. As of both March 31, 2026 and December 31, 2025, White Mountains owned 55.5% of Distinguished on a basic units outstanding basis (43.6% on a fully-diluted/fully-converted basis, taking account of management’s equity incentives). See </w:t>
      </w:r>
      <w:r>
        <w:rPr>
          <w:rFonts w:ascii="Times New Roman" w:cs="Times New Roman" w:eastAsia="Times New Roman" w:hAnsi="Times New Roman"/>
          <w:sz w:val="18"/>
          <w:szCs w:val="18"/>
          <w:b w:val="1"/>
          <w:bCs w:val="1"/>
          <w:color w:val="auto"/>
        </w:rPr>
        <w:t>Note 2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“Significant Transactions.”</w:t>
      </w:r>
    </w:p>
    <w:p>
      <w:pPr>
        <w:spacing w:after="0" w:line="1"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White Mountains’s other operations consist of the Company and its wholly-owned subsidiary, White Mountains Capital LLC (“WM Capital”), its other intermediate holding companies, its wholly-owned investment management subsidiary, White Mountains Advisors LLC (“WM Advisors”), investment assets managed by WM Advisors, its interests in Bamboo Ide8 Insurance Services LLC (“Bamboo MGA”) and its subsidiaries (collectively, “Bamboo”) through a special purpose vehicle (the “Bamboo SPV”), MediaAlpha, Inc. (“MediaAlpha”), DavidShield PassportCard Ltd. and its subsidiaries (collectively, “PassportCard/DavidShield”), BroadStreet Partners, Inc. (“BroadStreet”) through a special purpose vehicle (the “BroadStreet SPV”), Bishop Street Underwriters LLC (“Bishop Street”), Elementum Holdings LP (“Elementum”), White Mountains Partners LLC (“WTM Partners”), Enterprise Electric, LLC d/b/a Enterprise Solutions (“Enterprise Solutions”), certain other consolidated and unconsolidated entities (“Other Operating Businesses”) and certain other assets (collectively, “Other Operations”).</w:t>
      </w:r>
    </w:p>
    <w:p>
      <w:pPr>
        <w:spacing w:after="0" w:line="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xml:space="preserve">On December 5, 2025, White Mountains completed the sale of a controlling financial interest in WM Pierce Holdings, Inc. and its subsidiaries, including Bamboo MGA (collectively, the “Bamboo Group”). As a result of the sale, White Mountains deconsolidated the Bamboo Group on December 5, 2025, and Bamboo is no longer a reportable segment. Through December 5, 2025, Bamboo’s results of operations were presented within the Bamboo segment, consisting of PM Holdings LLC (“Bamboo Holdings”), Bamboo MGA and Ide8 Re, Inc. (the “Bamboo Captive”) (collectively, “Bamboo”). See </w:t>
      </w:r>
      <w:r>
        <w:rPr>
          <w:rFonts w:ascii="Times New Roman" w:cs="Times New Roman" w:eastAsia="Times New Roman" w:hAnsi="Times New Roman"/>
          <w:sz w:val="18"/>
          <w:szCs w:val="18"/>
          <w:b w:val="1"/>
          <w:bCs w:val="1"/>
          <w:color w:val="auto"/>
        </w:rPr>
        <w:t>Note 2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“Significant Transactions.” </w:t>
      </w:r>
      <w:r>
        <w:rPr>
          <w:rFonts w:ascii="Times New Roman" w:cs="Times New Roman" w:eastAsia="Times New Roman" w:hAnsi="Times New Roman"/>
          <w:sz w:val="18"/>
          <w:szCs w:val="18"/>
          <w:color w:val="auto"/>
        </w:rPr>
        <w:t>Bamboo is a capital-light, tech- and data-enabled insurance distribution platform providing homeowners’ insurance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products to the residential property market in California and, beginning in the third quarter of 2025, in Texas. Bamboo operates primarily through Bamboo MGA, its full-service MGA business, where the company manages all aspects of the placement process on behalf of its fronting and reinsurance carrier partners, including product development, marketing, underwriting, policy issuance and claims oversight, and it earns commissions based on the volume and profitability of the insurance that it places. Bamboo MGA offers both admitted and non-admitted products.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Refer to the Notes to Consolidated Financial Statements in the Company’s 2025 Annual Report on Form 10-K for a complete discussion regarding White Mountains’s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Significant Transactions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Bamboo</w:t>
      </w:r>
    </w:p>
    <w:p>
      <w:pPr>
        <w:spacing w:after="0" w:line="25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On December 5, 2025, White Mountains completed the sale of a controlling financial interest in the Bamboo Group to affiliates of funds advised by CVC Capital Partners (“CVC”), pursuant to the terms of the securities purchase agreement dated October 2, 2025 (the “Bamboo SPA”). Under the terms of the Bamboo SPA, White Mountains sold approximately 77.3% of its equity interest in the Bamboo Group for net cash proceeds at closing of $847.9 million and retained an indirect equity interest valued at closing at $250.0 million (the “Bamboo Sale Transaction”). In the first quarter of 2026, White Mountains received $6 million of incremental proceeds, including $3.6 million of proceeds held in escrow and $2.4 million of purchase price adjustments. As a result, White Mountains recognized an incremental gain on sale of the Bamboo Group of $2.4 million in the first quarter of 2026, bringing the total net transaction gain to $818.7 million. The total net transaction gain is comprised of an $851.7 million net gain on sale of the Bamboo Group, partially offset by $33.0 million of parent compensation costs recorded within general and administrative expenses during 2025.</w:t>
      </w:r>
    </w:p>
    <w:p>
      <w:pPr>
        <w:spacing w:after="0" w:line="2"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At closing, White Mountains had a 27.9% limited partnership interest in the Bamboo SPV and a 17.2% basic ownership interest in Bamboo on a look-through basis (14.6% on a fully-diluted/fully-converted basis, taking account of management’s equity incentives). White Mountains has taken the fair value option for its noncontrolling equity interest in the Bamboo SPV, which is accounted for at fair value in other long-term investments within Other</w:t>
      </w:r>
    </w:p>
    <w:p>
      <w:pPr>
        <w:spacing w:after="0"/>
        <w:rPr>
          <w:sz w:val="20"/>
          <w:szCs w:val="20"/>
          <w:color w:val="auto"/>
        </w:rPr>
      </w:pPr>
      <w:r>
        <w:rPr>
          <w:rFonts w:ascii="Times New Roman" w:cs="Times New Roman" w:eastAsia="Times New Roman" w:hAnsi="Times New Roman"/>
          <w:sz w:val="18"/>
          <w:szCs w:val="18"/>
          <w:color w:val="auto"/>
        </w:rPr>
        <w:t xml:space="preserve">Operations. See </w:t>
      </w:r>
      <w:r>
        <w:rPr>
          <w:rFonts w:ascii="Times New Roman" w:cs="Times New Roman" w:eastAsia="Times New Roman" w:hAnsi="Times New Roman"/>
          <w:sz w:val="18"/>
          <w:szCs w:val="18"/>
          <w:b w:val="1"/>
          <w:bCs w:val="1"/>
          <w:color w:val="auto"/>
        </w:rPr>
        <w:t>Note 3 — “Investment Securities”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Note 15 — “Variable Interest Entities.”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Distinguished</w:t>
      </w:r>
    </w:p>
    <w:p>
      <w:pPr>
        <w:spacing w:after="0" w:line="25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On September 2, 2025, White Mountains acquired a controlling financial interest in Distinguished (the “Distinguished Transaction”). White Mountains funded the Distinguished Transaction through a combination of cash on hand and new borrowings by Distinguished. White Mountains paid $224.8 million of cash consideration, including a post-closing purchase price adjustment of $0.5 million. In addition, Distinguished borrowed $50.0 million of incremental debt and utilized $6.8 million of cash on hand as part of the transaction. At closing, White Mountains owned 55.5%, inclusive of its 1.7% previously-held interest, of Distinguished on a basic units outstanding basis (43.6% on a fully-diluted/fully-converted basis, taking account of management’s equity incentives). At closing, 4.2% of the basic units outstanding are owned by Distinguished management (24.7% on a fully-diluted/fully-converted basis). As part of the Distinguished Transaction, WM Phoenix GP, LLC, an indirect wholly-owned subsidiary of the Company, became the general partner of Distinguished. As the general partner, White Mountains has control over all activities of Distinguished subject to consent rights held by certain limited partners. As a result, White Mountains will continue to control Distinguished even if its economic interest falls below 50%. See </w:t>
      </w:r>
      <w:r>
        <w:rPr>
          <w:rFonts w:ascii="Times New Roman" w:cs="Times New Roman" w:eastAsia="Times New Roman" w:hAnsi="Times New Roman"/>
          <w:sz w:val="18"/>
          <w:szCs w:val="18"/>
          <w:b w:val="1"/>
          <w:bCs w:val="1"/>
          <w:color w:val="auto"/>
        </w:rPr>
        <w:t>Note 15 — “Variable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Interest Entities.”</w:t>
      </w:r>
    </w:p>
    <w:p>
      <w:pPr>
        <w:spacing w:after="0" w:line="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 xml:space="preserve">On September 5, 2028, the third anniversary of the closing of the Distinguished Transaction, certain noncontrolling unitholders will have the option to sell additional units representing 31.4% of Distinguished’s basic units outstanding to White Mountains at the same unit price paid in the Distinguished Transaction less aggregate per unit distributions. As of March 31, 2026, the redemption value would be $131.5 million if exercised in full. Noncontrolling interests with optional redemption features that are not within White Mountains’s control are classified as redeemable noncontrolling interests. See </w:t>
      </w:r>
      <w:r>
        <w:rPr>
          <w:rFonts w:ascii="Times New Roman" w:cs="Times New Roman" w:eastAsia="Times New Roman" w:hAnsi="Times New Roman"/>
          <w:sz w:val="17"/>
          <w:szCs w:val="17"/>
          <w:b w:val="1"/>
          <w:bCs w:val="1"/>
          <w:color w:val="auto"/>
        </w:rPr>
        <w:t>Note 13</w:t>
      </w:r>
    </w:p>
    <w:p>
      <w:pPr>
        <w:spacing w:after="0" w:line="1"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 “Noncontrolling Interests.” </w:t>
      </w:r>
      <w:r>
        <w:rPr>
          <w:rFonts w:ascii="Times New Roman" w:cs="Times New Roman" w:eastAsia="Times New Roman" w:hAnsi="Times New Roman"/>
          <w:sz w:val="18"/>
          <w:szCs w:val="18"/>
          <w:color w:val="auto"/>
        </w:rPr>
        <w:t>In addition, White Mountains will have the parallel option to purchase such units at 1.35 times the unit price paid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Distinguished Transaction less aggregate per unit distributions.</w:t>
      </w:r>
    </w:p>
    <w:p>
      <w:pPr>
        <w:spacing w:after="0" w:line="253" w:lineRule="auto"/>
        <w:rPr>
          <w:sz w:val="20"/>
          <w:szCs w:val="20"/>
          <w:color w:val="auto"/>
        </w:rPr>
      </w:pPr>
      <w:r>
        <w:rPr>
          <w:rFonts w:ascii="Times New Roman" w:cs="Times New Roman" w:eastAsia="Times New Roman" w:hAnsi="Times New Roman"/>
          <w:sz w:val="18"/>
          <w:szCs w:val="18"/>
          <w:color w:val="auto"/>
        </w:rPr>
        <w:t>White Mountains recognized total assets acquired related to the Distinguished Transaction of $745.1 million, including goodwill and other intangible assets of $620.0 million, total liabilities assumed of $250.9 million, redeemable noncontrolling interests of $133.5 million and nonredeemable noncontrolling interest of $73.8 million, reflecting provisional acquisition date fair values. The goodwill and other intangible assets acquired and total liabilities assumed include a $1.2 million measurement period adjustment recognized in the first quarter of 2026. In connection with the acquisition, White Mountains incurred transaction costs of $6.8 million in Other Operations.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following presents additional details of the net assets acquired as of the September 2, 2025 acquisition date:</w:t>
      </w:r>
    </w:p>
    <w:p>
      <w:pPr>
        <w:spacing w:after="0" w:line="142" w:lineRule="exact"/>
        <w:rPr>
          <w:sz w:val="20"/>
          <w:szCs w:val="20"/>
          <w:color w:val="auto"/>
        </w:rPr>
      </w:pPr>
    </w:p>
    <w:tbl>
      <w:tblPr>
        <w:tblLayout w:type="fixed"/>
        <w:tblInd w:w="1840" w:type="dxa"/>
        <w:tblCellMar>
          <w:top w:w="0" w:type="dxa"/>
          <w:left w:w="0" w:type="dxa"/>
          <w:bottom w:w="0" w:type="dxa"/>
          <w:right w:w="0" w:type="dxa"/>
        </w:tblCellMar>
      </w:tblPr>
      <w:tr>
        <w:trPr>
          <w:trHeight w:val="210"/>
        </w:trPr>
        <w:tc>
          <w:tcPr>
            <w:tcW w:w="5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of September 2, 2025</w:t>
            </w:r>
          </w:p>
        </w:tc>
      </w:tr>
      <w:tr>
        <w:trPr>
          <w:trHeight w:val="210"/>
        </w:trPr>
        <w:tc>
          <w:tcPr>
            <w:tcW w:w="5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Short-term investments, at fair value</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78.1</w:t>
            </w: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(restricted $0.4)</w:t>
            </w:r>
          </w:p>
        </w:tc>
        <w:tc>
          <w:tcPr>
            <w:tcW w:w="240" w:type="dxa"/>
            <w:vAlign w:val="bottom"/>
          </w:tcPr>
          <w:p>
            <w:pPr>
              <w:spacing w:after="0"/>
              <w:rPr>
                <w:sz w:val="18"/>
                <w:szCs w:val="18"/>
                <w:color w:val="auto"/>
              </w:rPr>
            </w:pPr>
          </w:p>
        </w:tc>
        <w:tc>
          <w:tcPr>
            <w:tcW w:w="20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1.1</w:t>
            </w: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Premiums, commissions and fees receivable</w:t>
            </w:r>
          </w:p>
        </w:tc>
        <w:tc>
          <w:tcPr>
            <w:tcW w:w="240" w:type="dxa"/>
            <w:vAlign w:val="bottom"/>
          </w:tcPr>
          <w:p>
            <w:pPr>
              <w:spacing w:after="0"/>
              <w:rPr>
                <w:sz w:val="18"/>
                <w:szCs w:val="18"/>
                <w:color w:val="auto"/>
              </w:rPr>
            </w:pPr>
          </w:p>
        </w:tc>
        <w:tc>
          <w:tcPr>
            <w:tcW w:w="20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34.6</w:t>
            </w: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20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11.3</w:t>
            </w: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Debt</w:t>
            </w:r>
          </w:p>
        </w:tc>
        <w:tc>
          <w:tcPr>
            <w:tcW w:w="240" w:type="dxa"/>
            <w:vAlign w:val="bottom"/>
          </w:tcPr>
          <w:p>
            <w:pPr>
              <w:spacing w:after="0"/>
              <w:rPr>
                <w:sz w:val="18"/>
                <w:szCs w:val="18"/>
                <w:color w:val="auto"/>
              </w:rPr>
            </w:pPr>
          </w:p>
        </w:tc>
        <w:tc>
          <w:tcPr>
            <w:tcW w:w="20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(100.6)</w:t>
            </w: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Premiums and commissions payable</w:t>
            </w:r>
          </w:p>
        </w:tc>
        <w:tc>
          <w:tcPr>
            <w:tcW w:w="240" w:type="dxa"/>
            <w:vAlign w:val="bottom"/>
          </w:tcPr>
          <w:p>
            <w:pPr>
              <w:spacing w:after="0"/>
              <w:rPr>
                <w:sz w:val="18"/>
                <w:szCs w:val="18"/>
                <w:color w:val="auto"/>
              </w:rPr>
            </w:pPr>
          </w:p>
        </w:tc>
        <w:tc>
          <w:tcPr>
            <w:tcW w:w="20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(72.9)</w:t>
            </w: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(53.4)</w:t>
            </w:r>
          </w:p>
        </w:tc>
      </w:tr>
      <w:tr>
        <w:trPr>
          <w:trHeight w:val="210"/>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tangible assets acquired (liabilities assumed)</w:t>
            </w:r>
          </w:p>
        </w:tc>
        <w:tc>
          <w:tcPr>
            <w:tcW w:w="240" w:type="dxa"/>
            <w:vAlign w:val="bottom"/>
          </w:tcPr>
          <w:p>
            <w:pPr>
              <w:spacing w:after="0"/>
              <w:rPr>
                <w:sz w:val="18"/>
                <w:szCs w:val="18"/>
                <w:color w:val="auto"/>
              </w:rPr>
            </w:pPr>
          </w:p>
        </w:tc>
        <w:tc>
          <w:tcPr>
            <w:tcW w:w="20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(101.8)</w:t>
            </w:r>
          </w:p>
        </w:tc>
      </w:tr>
      <w:tr>
        <w:trPr>
          <w:trHeight w:val="270"/>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23"/>
                <w:szCs w:val="23"/>
                <w:color w:val="auto"/>
              </w:rPr>
            </w:pPr>
          </w:p>
        </w:tc>
        <w:tc>
          <w:tcPr>
            <w:tcW w:w="20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421.8</w:t>
            </w: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intangible assets</w:t>
            </w:r>
          </w:p>
        </w:tc>
        <w:tc>
          <w:tcPr>
            <w:tcW w:w="240" w:type="dxa"/>
            <w:vAlign w:val="bottom"/>
          </w:tcPr>
          <w:p>
            <w:pPr>
              <w:spacing w:after="0"/>
              <w:rPr>
                <w:sz w:val="18"/>
                <w:szCs w:val="18"/>
                <w:color w:val="auto"/>
              </w:rPr>
            </w:pPr>
          </w:p>
        </w:tc>
        <w:tc>
          <w:tcPr>
            <w:tcW w:w="20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198.2</w:t>
            </w:r>
          </w:p>
        </w:tc>
      </w:tr>
      <w:tr>
        <w:trPr>
          <w:trHeight w:val="219"/>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liabilities related to investment basis differences</w:t>
            </w: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(24.0)</w:t>
            </w:r>
          </w:p>
        </w:tc>
      </w:tr>
      <w:tr>
        <w:trPr>
          <w:trHeight w:val="250"/>
        </w:trPr>
        <w:tc>
          <w:tcPr>
            <w:tcW w:w="5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Net assets acquired</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494.2</w:t>
            </w:r>
          </w:p>
        </w:tc>
      </w:tr>
      <w:tr>
        <w:trPr>
          <w:trHeight w:val="23"/>
        </w:trPr>
        <w:tc>
          <w:tcPr>
            <w:tcW w:w="5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Net tangible assets acquired and the resulting goodwill and other intangible assets were recorded at fair value using Level 3 inputs. The majority of the tangible assets acquired and liabilities assumed were recorded at their carrying values, as their carrying values approximated fair value due to their short-term nature. The fair values of other intangible assets were internally estimated based primarily on the income approach. The income approach estimates fair value based on the present value of the cash flows that the assets are expected to generate in the future. White Mountains developed internal estimates for the expected future cash flows and discount rates used in the present value calculations. See </w:t>
      </w:r>
      <w:r>
        <w:rPr>
          <w:rFonts w:ascii="Times New Roman" w:cs="Times New Roman" w:eastAsia="Times New Roman" w:hAnsi="Times New Roman"/>
          <w:sz w:val="18"/>
          <w:szCs w:val="18"/>
          <w:b w:val="1"/>
          <w:bCs w:val="1"/>
          <w:color w:val="auto"/>
        </w:rPr>
        <w:t>Note 4 — “Goodwill and Other Intangible Assets.”</w:t>
      </w:r>
      <w:r>
        <w:rPr>
          <w:rFonts w:ascii="Times New Roman" w:cs="Times New Roman" w:eastAsia="Times New Roman" w:hAnsi="Times New Roman"/>
          <w:sz w:val="18"/>
          <w:szCs w:val="18"/>
          <w:color w:val="auto"/>
        </w:rPr>
        <w:t xml:space="preserve"> The value of the redeemable noncontrolling interests was recorded at the acquisition date fair value based on the valuation implied in the Distinguished Transaction, adjusted for the value of the embedded put and call rights. The value of the embedded put and call rights was estimated using an option pricing approach, incorporating assumptions for expected volatility, time to exercise, risk-free interest rates and other contractual terms of the instruments.</w:t>
      </w:r>
    </w:p>
    <w:p>
      <w:pPr>
        <w:spacing w:after="0" w:line="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value of the nonredeemable noncontrolling interests was recorded at the acquisition date fair value based on the valuation implied in the Distinguished Transaction.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Distinguished’s segment revenue and earnings since acquisition are presented in </w:t>
      </w:r>
      <w:r>
        <w:rPr>
          <w:rFonts w:ascii="Times New Roman" w:cs="Times New Roman" w:eastAsia="Times New Roman" w:hAnsi="Times New Roman"/>
          <w:sz w:val="18"/>
          <w:szCs w:val="18"/>
          <w:b w:val="1"/>
          <w:bCs w:val="1"/>
          <w:color w:val="auto"/>
        </w:rPr>
        <w:t>Note 14 — “Segment Information.”</w:t>
      </w:r>
    </w:p>
    <w:p>
      <w:pPr>
        <w:spacing w:after="0" w:line="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On November 1, 2025, Distinguished sold a non-core, sports and prize indemnity program for net proceeds of $33.6 million. Goodwill of $23.6 million and other intangible assets of $9.3 million were attributed to the business sold and derecognized as a result of the sale.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BroadStreet</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On July 18, 2025, White Mountains deployed $150.0 million into BroadStreet through the BroadStreet SPV. BroadStreet is an insurance brokerage company with a presence in all 50 U.S. states and ten Canadian provinces. BroadStreet focuses on commercial and personal property &amp; casualty insurance and employee benefits. White Mountains has taken the fair value option for its noncontrolling equity interest in the BroadStreet SPV, which is accounted for at fair value using net asset value (“NAV”) as a practical expedient and is included in other long-term investments within Other Operations. At closing, White Mountains had a 10.9% limited partnership interest in the BroadStreet SPV and a less than 5% ownership interest in BroadStreet on a look-through basis. See </w:t>
      </w:r>
      <w:r>
        <w:rPr>
          <w:rFonts w:ascii="Times New Roman" w:cs="Times New Roman" w:eastAsia="Times New Roman" w:hAnsi="Times New Roman"/>
          <w:sz w:val="18"/>
          <w:szCs w:val="18"/>
          <w:b w:val="1"/>
          <w:bCs w:val="1"/>
          <w:color w:val="auto"/>
        </w:rPr>
        <w:t>Note 3 — “Investment Securities”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Note 15 — “Variable Interest Entities.”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Bishop Street</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On February 26, 2026, White Mountains deployed $125.0 million into Bishop Street. Bishop Street is a diversified platform of MGAs and niche underwriting teams focused on the property and casualty insurance sector. White Mountains has taken the fair value option for its noncontrolling structured capital investment in Bishop Street, which is accounted for at fair value in other long-term investments within Other Operations. See </w:t>
      </w:r>
      <w:r>
        <w:rPr>
          <w:rFonts w:ascii="Times New Roman" w:cs="Times New Roman" w:eastAsia="Times New Roman" w:hAnsi="Times New Roman"/>
          <w:sz w:val="18"/>
          <w:szCs w:val="18"/>
          <w:b w:val="1"/>
          <w:bCs w:val="1"/>
          <w:color w:val="auto"/>
        </w:rPr>
        <w:t>Note 3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“Investment Securities.”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Enterprise Solutions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April 1, 2025, White Mountains acquired a controlling financial interest in Enterprise Solutions (the “Enterprise Solutions Transaction”). This is the first acquisition by WTM Partners. Enterprise Solutions provides specialty electrical contracting services to commercial and institutional customers. White Mountains funded the Enterprise Solutions Transaction through a combination of cash on hand and new borrowings by Enterprise Solutions. White Mountains paid $58.3 million of cash consideration, which included a post-acquisition contribution of $1.5 million, and Enterprise Solutions borrowed $15.0 million in new debt as part of the transaction. At closing, White Mountains owned 65.5% of Enterprise Solutions on a basic units outstanding basis (59.0% on a fully-diluted/fully-converted basis, taking account of management’s equity incentives).</w:t>
      </w:r>
    </w:p>
    <w:p>
      <w:pPr>
        <w:spacing w:after="0" w:line="5"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White Mountains recognized total assets acquired related to Enterprise Solutions of $176.4 million, total liabilities assumed of $74.4 million and noncontrolling interests of $30.6 million, reflecting provisional acquisition date fair values. Total assets acquired included $57.7 million of goodwill and $37.6 million of other intangible assets, reflecting provisional acquisition date fair values. In connection with the acquisition, White Mountains incurred transaction costs of $3.0 million in Other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Investment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Mountains’s portfolio of investment securities held for general investment purposes consists of fixed maturity investments, short-term investments,</w:t>
      </w:r>
    </w:p>
    <w:p>
      <w:pPr>
        <w:spacing w:after="0" w:line="50"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common equity securities, its investment in MediaAlpha and other long-term investments. White Mountains’s portfolio of fixed maturity investments, including those within short-term investments, is classified as trading securities. Trading securities are reported at fair value as of the balance sheet date. Short-term investments also include interest-bearing money market funds and certificates of deposit that are carried at fair value. White Mountains’s</w:t>
      </w:r>
    </w:p>
    <w:p>
      <w:pPr>
        <w:spacing w:after="0" w:line="2" w:lineRule="exact"/>
        <w:rPr>
          <w:sz w:val="20"/>
          <w:szCs w:val="20"/>
          <w:color w:val="auto"/>
        </w:rPr>
      </w:pPr>
    </w:p>
    <w:p>
      <w:pPr>
        <w:ind w:right="480"/>
        <w:spacing w:after="0" w:line="290" w:lineRule="auto"/>
        <w:rPr>
          <w:sz w:val="20"/>
          <w:szCs w:val="20"/>
          <w:color w:val="auto"/>
        </w:rPr>
      </w:pPr>
      <w:r>
        <w:rPr>
          <w:rFonts w:ascii="Times New Roman" w:cs="Times New Roman" w:eastAsia="Times New Roman" w:hAnsi="Times New Roman"/>
          <w:sz w:val="17"/>
          <w:szCs w:val="17"/>
          <w:color w:val="auto"/>
        </w:rPr>
        <w:t>portfolio of common equity securities, its investment in MediaAlpha and other long-term investments are measured at fair value. Other long-term investments consist primarily of unconsolidated entities, including Kudu’s Participation Contracts, the Bamboo SPV, PassportCard/DavidShield, the</w:t>
      </w:r>
    </w:p>
    <w:p>
      <w:pPr>
        <w:ind w:right="60"/>
        <w:spacing w:after="0" w:line="262" w:lineRule="auto"/>
        <w:rPr>
          <w:sz w:val="20"/>
          <w:szCs w:val="20"/>
          <w:color w:val="auto"/>
        </w:rPr>
      </w:pPr>
      <w:r>
        <w:rPr>
          <w:rFonts w:ascii="Times New Roman" w:cs="Times New Roman" w:eastAsia="Times New Roman" w:hAnsi="Times New Roman"/>
          <w:sz w:val="18"/>
          <w:szCs w:val="18"/>
          <w:color w:val="auto"/>
        </w:rPr>
        <w:t xml:space="preserve">BroadStreet SPV and Bishop Street, as well as private equity funds and hedge funds, a bank loan fund and Lloyd’s trust deposits. White Mountains has generally taken the fair value option for its equity method eligible investments. See </w:t>
      </w:r>
      <w:r>
        <w:rPr>
          <w:rFonts w:ascii="Times New Roman" w:cs="Times New Roman" w:eastAsia="Times New Roman" w:hAnsi="Times New Roman"/>
          <w:sz w:val="18"/>
          <w:szCs w:val="18"/>
          <w:b w:val="1"/>
          <w:bCs w:val="1"/>
          <w:color w:val="auto"/>
        </w:rPr>
        <w:t>Note 16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Equity Method Eligible Investments.</w:t>
      </w:r>
      <w:r>
        <w:rPr>
          <w:rFonts w:ascii="Times New Roman" w:cs="Times New Roman" w:eastAsia="Times New Roman" w:hAnsi="Times New Roman"/>
          <w:sz w:val="18"/>
          <w:szCs w:val="18"/>
          <w:color w:val="auto"/>
        </w:rPr>
        <w:t>” Net realized and unrealized investment gains (losses) are reported in pre-tax revenues.</w:t>
      </w:r>
    </w:p>
    <w:p>
      <w:pPr>
        <w:spacing w:after="0" w:line="2"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 xml:space="preserve">Effective December 5, 2025, White Mountains no longer consolidates Bamboo. Through December 5, 2025, White Mountains’s consolidated financial statements included Bamboo’s investment results. See </w:t>
      </w:r>
      <w:r>
        <w:rPr>
          <w:rFonts w:ascii="Times New Roman" w:cs="Times New Roman" w:eastAsia="Times New Roman" w:hAnsi="Times New Roman"/>
          <w:sz w:val="18"/>
          <w:szCs w:val="18"/>
          <w:b w:val="1"/>
          <w:bCs w:val="1"/>
          <w:color w:val="auto"/>
        </w:rPr>
        <w:t>Note 2 — “Significant Transactions.”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White Mountains’s portfolio of investment securities includes investments classified as assets held for sale. See </w:t>
      </w:r>
      <w:r>
        <w:rPr>
          <w:rFonts w:ascii="Times New Roman" w:cs="Times New Roman" w:eastAsia="Times New Roman" w:hAnsi="Times New Roman"/>
          <w:sz w:val="18"/>
          <w:szCs w:val="18"/>
          <w:b w:val="1"/>
          <w:bCs w:val="1"/>
          <w:color w:val="auto"/>
        </w:rPr>
        <w:t>Note 19 — “Held for Sale.”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White Mountains’s net investment income is comprised primarily of interest income associated with White Mountains’s fixed maturity investments and short-term investments, dividend income from common equity securities and distributions from other long-term investments. The following table presents pre-tax net investment income for the three months ended March 31, 2026 and 2025:</w:t>
      </w:r>
    </w:p>
    <w:p>
      <w:pPr>
        <w:spacing w:after="0" w:line="120" w:lineRule="exact"/>
        <w:rPr>
          <w:sz w:val="20"/>
          <w:szCs w:val="20"/>
          <w:color w:val="auto"/>
        </w:rPr>
      </w:pPr>
    </w:p>
    <w:tbl>
      <w:tblPr>
        <w:tblLayout w:type="fixed"/>
        <w:tblInd w:w="2160" w:type="dxa"/>
        <w:tblCellMar>
          <w:top w:w="0" w:type="dxa"/>
          <w:left w:w="0" w:type="dxa"/>
          <w:bottom w:w="0" w:type="dxa"/>
          <w:right w:w="0" w:type="dxa"/>
        </w:tblCellMar>
      </w:tblPr>
      <w:tr>
        <w:trPr>
          <w:trHeight w:val="210"/>
        </w:trPr>
        <w:tc>
          <w:tcPr>
            <w:tcW w:w="3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2840" w:type="dxa"/>
            <w:vAlign w:val="bottom"/>
            <w:tcBorders>
              <w:top w:val="single" w:sz="8" w:color="auto"/>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17"/>
                <w:szCs w:val="17"/>
                <w:color w:val="auto"/>
              </w:rPr>
            </w:pPr>
          </w:p>
        </w:tc>
        <w:tc>
          <w:tcPr>
            <w:tcW w:w="118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0"/>
        </w:trPr>
        <w:tc>
          <w:tcPr>
            <w:tcW w:w="3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Fixed maturity investments</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3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equity securities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8"/>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14"/>
        </w:trPr>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investment income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38"/>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Third-party investment expenses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37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Net investment income, pre-tax</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71.4</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1"/>
        </w:trPr>
        <w:tc>
          <w:tcPr>
            <w:tcW w:w="3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Net Realized and Unrealized Investment Gains (Losses)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realized and unrealized investment gains (losses) 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94615</wp:posOffset>
            </wp:positionV>
            <wp:extent cx="54432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43220" cy="8255"/>
                    </a:xfrm>
                    <a:prstGeom prst="rect">
                      <a:avLst/>
                    </a:prstGeom>
                    <a:noFill/>
                  </pic:spPr>
                </pic:pic>
              </a:graphicData>
            </a:graphic>
          </wp:anchor>
        </w:drawing>
      </w:r>
    </w:p>
    <w:p>
      <w:pPr>
        <w:spacing w:after="0" w:line="280"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3"/>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Realized investment gains (losses)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maturity investments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7"/>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equity securities</w:t>
            </w:r>
          </w:p>
        </w:tc>
        <w:tc>
          <w:tcPr>
            <w:tcW w:w="24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57"/>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7"/>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Net realized investment gains (losses) </w:t>
            </w:r>
            <w:r>
              <w:rPr>
                <w:rFonts w:ascii="Times New Roman" w:cs="Times New Roman" w:eastAsia="Times New Roman" w:hAnsi="Times New Roman"/>
                <w:sz w:val="9"/>
                <w:szCs w:val="9"/>
                <w:color w:val="auto"/>
              </w:rPr>
              <w:t>(1)</w:t>
            </w:r>
          </w:p>
        </w:tc>
        <w:tc>
          <w:tcPr>
            <w:tcW w:w="24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56"/>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investment gains (losses)</w:t>
            </w: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maturity investments</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57"/>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equity securities</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56"/>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in MediaAlpha</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57"/>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56.1</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37"/>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unrealized investment gains (losses)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Net realized and unrealized investment gains (losses) </w:t>
            </w:r>
            <w:r>
              <w:rPr>
                <w:rFonts w:ascii="Times New Roman" w:cs="Times New Roman" w:eastAsia="Times New Roman" w:hAnsi="Times New Roman"/>
                <w:sz w:val="9"/>
                <w:szCs w:val="9"/>
                <w:color w:val="auto"/>
              </w:rPr>
              <w:t>(2)</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
        </w:trPr>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Fixed maturity and short-term investments</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20" w:type="dxa"/>
            <w:vAlign w:val="bottom"/>
            <w:gridSpan w:val="2"/>
            <w:vMerge w:val="continue"/>
          </w:tcPr>
          <w:p>
            <w:pPr>
              <w:spacing w:after="0"/>
              <w:rPr>
                <w:sz w:val="19"/>
                <w:szCs w:val="19"/>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realized and unrealized investment gains (losses)</w:t>
            </w:r>
          </w:p>
        </w:tc>
        <w:tc>
          <w:tcPr>
            <w:tcW w:w="24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180"/>
        </w:trPr>
        <w:tc>
          <w:tcPr>
            <w:tcW w:w="582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rPr>
              <w:t>Less: net realized and unrealized gains (losses) on investment</w:t>
            </w:r>
          </w:p>
        </w:tc>
        <w:tc>
          <w:tcPr>
            <w:tcW w:w="24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securities sold during the period</w:t>
            </w:r>
          </w:p>
        </w:tc>
        <w:tc>
          <w:tcPr>
            <w:tcW w:w="24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55"/>
        </w:trPr>
        <w:tc>
          <w:tcPr>
            <w:tcW w:w="582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8"/>
                <w:szCs w:val="18"/>
                <w:color w:val="auto"/>
              </w:rPr>
              <w:t>Net unrealized investment gains (losses) recognized during the period on</w:t>
            </w:r>
          </w:p>
        </w:tc>
        <w:tc>
          <w:tcPr>
            <w:tcW w:w="2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12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1"/>
        </w:trPr>
        <w:tc>
          <w:tcPr>
            <w:tcW w:w="5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investment securities held at the end of the period</w:t>
            </w:r>
          </w:p>
        </w:tc>
        <w:tc>
          <w:tcPr>
            <w:tcW w:w="24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Common equity securities and investment in MediaAlpha</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58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82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Net realized and unrealized investment gains (losses) on common</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80"/>
        </w:trPr>
        <w:tc>
          <w:tcPr>
            <w:tcW w:w="582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Net realized and unrealized investment gains (losses) from</w:t>
            </w: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(65.2)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investment in MediaAlpha</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32"/>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net realized and unrealized investment gains (losses)</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180"/>
        </w:trPr>
        <w:tc>
          <w:tcPr>
            <w:tcW w:w="582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Less: net realized and unrealized gains (losses) on investment</w:t>
            </w:r>
          </w:p>
        </w:tc>
        <w:tc>
          <w:tcPr>
            <w:tcW w:w="240" w:type="dxa"/>
            <w:vAlign w:val="bottom"/>
          </w:tcPr>
          <w:p>
            <w:pPr>
              <w:spacing w:after="0"/>
              <w:rPr>
                <w:sz w:val="15"/>
                <w:szCs w:val="15"/>
                <w:color w:val="auto"/>
              </w:rPr>
            </w:pPr>
          </w:p>
        </w:tc>
        <w:tc>
          <w:tcPr>
            <w:tcW w:w="108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securities sold during the period</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55"/>
        </w:trPr>
        <w:tc>
          <w:tcPr>
            <w:tcW w:w="582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8"/>
                <w:szCs w:val="18"/>
                <w:color w:val="auto"/>
              </w:rPr>
              <w:t>Net unrealized investment gains (losses) recognized during the period on</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(90.1)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8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investment securities held at the end of the period</w:t>
            </w:r>
          </w:p>
        </w:tc>
        <w:tc>
          <w:tcPr>
            <w:tcW w:w="24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80" w:hanging="148"/>
        <w:spacing w:after="0"/>
        <w:tabs>
          <w:tab w:leader="none" w:pos="48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the three months ended March 31, 2026 and 2025, includes $(6.4) and $7.2 of net realized and unrealized investment gains (losses) related to foreign currency exchange.</w:t>
      </w:r>
    </w:p>
    <w:p>
      <w:pPr>
        <w:spacing w:after="0" w:line="27" w:lineRule="exact"/>
        <w:rPr>
          <w:rFonts w:ascii="Times New Roman" w:cs="Times New Roman" w:eastAsia="Times New Roman" w:hAnsi="Times New Roman"/>
          <w:sz w:val="9"/>
          <w:szCs w:val="9"/>
          <w:color w:val="auto"/>
        </w:rPr>
      </w:pPr>
    </w:p>
    <w:p>
      <w:pPr>
        <w:ind w:left="500" w:right="100" w:hanging="168"/>
        <w:spacing w:after="0" w:line="221" w:lineRule="auto"/>
        <w:tabs>
          <w:tab w:leader="none" w:pos="483"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three months ended March 31, 2026 and 2025, White Mountains recognized gross realized investment gains of $19.4 and $41.4 and gross realized investment losses of $5.1 and $1.1 on sales of investment securities.</w:t>
      </w:r>
    </w:p>
    <w:p>
      <w:pPr>
        <w:spacing w:after="0" w:line="2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total net unrealized gains (losses) attributable to Level 3 investments for the three months ended March 31, 2026 and 2025 for investments still held at the end of the period:</w:t>
      </w:r>
    </w:p>
    <w:p>
      <w:pPr>
        <w:spacing w:after="0" w:line="106"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5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960" w:type="dxa"/>
            <w:vAlign w:val="bottom"/>
            <w:tcBorders>
              <w:top w:val="single" w:sz="8" w:color="auto"/>
            </w:tcBorders>
          </w:tcPr>
          <w:p>
            <w:pPr>
              <w:ind w:left="180"/>
              <w:spacing w:after="0" w:line="184" w:lineRule="exact"/>
              <w:rPr>
                <w:sz w:val="20"/>
                <w:szCs w:val="20"/>
                <w:color w:val="auto"/>
              </w:rPr>
            </w:pPr>
            <w:r>
              <w:rPr>
                <w:rFonts w:ascii="Times New Roman" w:cs="Times New Roman" w:eastAsia="Times New Roman" w:hAnsi="Times New Roman"/>
                <w:sz w:val="18"/>
                <w:szCs w:val="18"/>
                <w:color w:val="auto"/>
              </w:rPr>
              <w:t>Total net unrealized investment gains (losses) recognized during the period on</w:t>
            </w:r>
          </w:p>
        </w:tc>
        <w:tc>
          <w:tcPr>
            <w:tcW w:w="100" w:type="dxa"/>
            <w:vAlign w:val="bottom"/>
          </w:tcPr>
          <w:p>
            <w:pPr>
              <w:spacing w:after="0"/>
              <w:rPr>
                <w:sz w:val="15"/>
                <w:szCs w:val="15"/>
                <w:color w:val="auto"/>
              </w:rPr>
            </w:pPr>
          </w:p>
        </w:tc>
        <w:tc>
          <w:tcPr>
            <w:tcW w:w="920" w:type="dxa"/>
            <w:vAlign w:val="bottom"/>
            <w:tcBorders>
              <w:top w:val="single" w:sz="8" w:color="auto"/>
            </w:tcBorders>
            <w:vMerge w:val="restart"/>
          </w:tcPr>
          <w:p>
            <w:pPr>
              <w:jc w:val="right"/>
              <w:ind w:right="7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50.1</w:t>
            </w: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0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Level 3 investments held at the end of period</w:t>
            </w:r>
          </w:p>
        </w:tc>
        <w:tc>
          <w:tcPr>
            <w:tcW w:w="92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94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41" w:right="399" w:bottom="1440" w:gutter="0" w:footer="0" w:header="0"/>
          <w:type w:val="continuous"/>
        </w:sectPr>
      </w:pPr>
    </w:p>
    <w:bookmarkStart w:id="15" w:name="page16"/>
    <w:bookmarkEnd w:id="15"/>
    <w:p>
      <w:pPr>
        <w:ind w:left="80"/>
        <w:spacing w:after="0"/>
        <w:rPr>
          <w:sz w:val="20"/>
          <w:szCs w:val="20"/>
          <w:color w:val="auto"/>
        </w:rPr>
      </w:pPr>
      <w:r>
        <w:rPr>
          <w:rFonts w:ascii="Times New Roman" w:cs="Times New Roman" w:eastAsia="Times New Roman" w:hAnsi="Times New Roman"/>
          <w:sz w:val="18"/>
          <w:szCs w:val="18"/>
          <w:b w:val="1"/>
          <w:bCs w:val="1"/>
          <w:color w:val="auto"/>
        </w:rPr>
        <w:t>Investment Holdings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cost or amortized cost, gross unrealized investment gains (losses), net foreign currency gains (losses) and carrying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Mountains’s fixed maturity investments as of March 31, 2026 and December 31, 2025:</w:t>
      </w:r>
    </w:p>
    <w:p>
      <w:pPr>
        <w:spacing w:after="0" w:line="151"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4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4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Cost or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3"/>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Net Foreign</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4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128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Currency Gains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2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9"/>
        </w:trPr>
        <w:tc>
          <w:tcPr>
            <w:tcW w:w="4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480.1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477.7</w:t>
            </w:r>
          </w:p>
        </w:tc>
        <w:tc>
          <w:tcPr>
            <w:tcW w:w="0" w:type="dxa"/>
            <w:vAlign w:val="bottom"/>
          </w:tcPr>
          <w:p>
            <w:pPr>
              <w:spacing w:after="0"/>
              <w:rPr>
                <w:sz w:val="1"/>
                <w:szCs w:val="1"/>
                <w:color w:val="auto"/>
              </w:rPr>
            </w:pPr>
          </w:p>
        </w:tc>
      </w:tr>
      <w:tr>
        <w:trPr>
          <w:trHeight w:val="230"/>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Debt securities issued by corporations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1,640.1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1,628.8</w:t>
            </w:r>
          </w:p>
        </w:tc>
        <w:tc>
          <w:tcPr>
            <w:tcW w:w="0" w:type="dxa"/>
            <w:vAlign w:val="bottom"/>
          </w:tcPr>
          <w:p>
            <w:pPr>
              <w:spacing w:after="0"/>
              <w:rPr>
                <w:sz w:val="1"/>
                <w:szCs w:val="1"/>
                <w:color w:val="auto"/>
              </w:rPr>
            </w:pPr>
          </w:p>
        </w:tc>
      </w:tr>
      <w:tr>
        <w:trPr>
          <w:trHeight w:val="229"/>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417.2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402.5</w:t>
            </w:r>
          </w:p>
        </w:tc>
        <w:tc>
          <w:tcPr>
            <w:tcW w:w="0" w:type="dxa"/>
            <w:vAlign w:val="bottom"/>
          </w:tcPr>
          <w:p>
            <w:pPr>
              <w:spacing w:after="0"/>
              <w:rPr>
                <w:sz w:val="1"/>
                <w:szCs w:val="1"/>
                <w:color w:val="auto"/>
              </w:rPr>
            </w:pPr>
          </w:p>
        </w:tc>
      </w:tr>
      <w:tr>
        <w:trPr>
          <w:trHeight w:val="229"/>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Collateralized loan obligations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344.7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345.2</w:t>
            </w:r>
          </w:p>
        </w:tc>
        <w:tc>
          <w:tcPr>
            <w:tcW w:w="0" w:type="dxa"/>
            <w:vAlign w:val="bottom"/>
          </w:tcPr>
          <w:p>
            <w:pPr>
              <w:spacing w:after="0"/>
              <w:rPr>
                <w:sz w:val="1"/>
                <w:szCs w:val="1"/>
                <w:color w:val="auto"/>
              </w:rPr>
            </w:pPr>
          </w:p>
        </w:tc>
      </w:tr>
      <w:tr>
        <w:trPr>
          <w:trHeight w:val="238"/>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 government and agency obligations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Total fixed maturity investments</w:t>
            </w: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2,913.2</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2,886.1</w:t>
            </w:r>
          </w:p>
        </w:tc>
        <w:tc>
          <w:tcPr>
            <w:tcW w:w="0" w:type="dxa"/>
            <w:vAlign w:val="bottom"/>
          </w:tcPr>
          <w:p>
            <w:pPr>
              <w:spacing w:after="0"/>
              <w:rPr>
                <w:sz w:val="1"/>
                <w:szCs w:val="1"/>
                <w:color w:val="auto"/>
              </w:rPr>
            </w:pPr>
          </w:p>
        </w:tc>
      </w:tr>
      <w:tr>
        <w:trPr>
          <w:trHeight w:val="21"/>
        </w:trPr>
        <w:tc>
          <w:tcPr>
            <w:tcW w:w="4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4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Cost or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Net Foreign</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4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6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4"/>
        </w:trPr>
        <w:tc>
          <w:tcPr>
            <w:tcW w:w="4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0" w:type="dxa"/>
            <w:vAlign w:val="bottom"/>
          </w:tcPr>
          <w:p>
            <w:pPr>
              <w:spacing w:after="0"/>
              <w:rPr>
                <w:sz w:val="1"/>
                <w:szCs w:val="1"/>
                <w:color w:val="auto"/>
              </w:rPr>
            </w:pPr>
          </w:p>
        </w:tc>
      </w:tr>
      <w:tr>
        <w:trPr>
          <w:trHeight w:val="229"/>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Debt securities issued by corporations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0" w:type="dxa"/>
            <w:vAlign w:val="bottom"/>
          </w:tcPr>
          <w:p>
            <w:pPr>
              <w:spacing w:after="0"/>
              <w:rPr>
                <w:sz w:val="1"/>
                <w:szCs w:val="1"/>
                <w:color w:val="auto"/>
              </w:rPr>
            </w:pPr>
          </w:p>
        </w:tc>
      </w:tr>
      <w:tr>
        <w:trPr>
          <w:trHeight w:val="229"/>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0" w:type="dxa"/>
            <w:vAlign w:val="bottom"/>
          </w:tcPr>
          <w:p>
            <w:pPr>
              <w:spacing w:after="0"/>
              <w:rPr>
                <w:sz w:val="1"/>
                <w:szCs w:val="1"/>
                <w:color w:val="auto"/>
              </w:rPr>
            </w:pPr>
          </w:p>
        </w:tc>
      </w:tr>
      <w:tr>
        <w:trPr>
          <w:trHeight w:val="230"/>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Collateralized loan obligations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0" w:type="dxa"/>
            <w:vAlign w:val="bottom"/>
          </w:tcPr>
          <w:p>
            <w:pPr>
              <w:spacing w:after="0"/>
              <w:rPr>
                <w:sz w:val="1"/>
                <w:szCs w:val="1"/>
                <w:color w:val="auto"/>
              </w:rPr>
            </w:pPr>
          </w:p>
        </w:tc>
      </w:tr>
      <w:tr>
        <w:trPr>
          <w:trHeight w:val="234"/>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 government and agency obligations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Total fixed maturity investments</w:t>
            </w:r>
          </w:p>
        </w:tc>
        <w:tc>
          <w:tcPr>
            <w:tcW w:w="8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2,774.8</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2,770.5</w:t>
            </w:r>
          </w:p>
        </w:tc>
        <w:tc>
          <w:tcPr>
            <w:tcW w:w="0" w:type="dxa"/>
            <w:vAlign w:val="bottom"/>
          </w:tcPr>
          <w:p>
            <w:pPr>
              <w:spacing w:after="0"/>
              <w:rPr>
                <w:sz w:val="1"/>
                <w:szCs w:val="1"/>
                <w:color w:val="auto"/>
              </w:rPr>
            </w:pP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cost or amortized cost and carrying value of White Mountains’s fixed maturity investments by contractual maturity as of March 31, 2026 and December 31, 2025. Actual maturities could differ from contractual maturities because borrowers may have the right to call or prepay certain obligations with or without penalties.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500" w:type="dxa"/>
            <w:vAlign w:val="bottom"/>
            <w:tcBorders>
              <w:top w:val="single" w:sz="8" w:color="auto"/>
            </w:tcBorders>
            <w:gridSpan w:val="5"/>
          </w:tcPr>
          <w:p>
            <w:pPr>
              <w:ind w:left="11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Borders>
              <w:top w:val="single" w:sz="8" w:color="auto"/>
            </w:tcBorders>
          </w:tcPr>
          <w:p>
            <w:pPr>
              <w:spacing w:after="0"/>
              <w:rPr>
                <w:sz w:val="18"/>
                <w:szCs w:val="18"/>
                <w:color w:val="auto"/>
              </w:rPr>
            </w:pPr>
          </w:p>
        </w:tc>
        <w:tc>
          <w:tcPr>
            <w:tcW w:w="3400" w:type="dxa"/>
            <w:vAlign w:val="bottom"/>
            <w:tcBorders>
              <w:top w:val="single" w:sz="8" w:color="auto"/>
            </w:tcBorders>
            <w:gridSpan w:val="4"/>
          </w:tcPr>
          <w:p>
            <w:pPr>
              <w:jc w:val="right"/>
              <w:ind w:right="109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6"/>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Cost or Amortized Cost</w:t>
            </w: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Cost or Amortized Cost</w:t>
            </w: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220"/>
        </w:trPr>
        <w:tc>
          <w:tcPr>
            <w:tcW w:w="3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511.0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511.1</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0" w:type="dxa"/>
            <w:vAlign w:val="bottom"/>
          </w:tcPr>
          <w:p>
            <w:pPr>
              <w:spacing w:after="0"/>
              <w:rPr>
                <w:sz w:val="1"/>
                <w:szCs w:val="1"/>
                <w:color w:val="auto"/>
              </w:rPr>
            </w:pPr>
          </w:p>
        </w:tc>
      </w:tr>
      <w:tr>
        <w:trPr>
          <w:trHeight w:val="22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1,354.1</w:t>
            </w:r>
          </w:p>
        </w:tc>
        <w:tc>
          <w:tcPr>
            <w:tcW w:w="0" w:type="dxa"/>
            <w:vAlign w:val="bottom"/>
          </w:tcPr>
          <w:p>
            <w:pPr>
              <w:spacing w:after="0"/>
              <w:rPr>
                <w:sz w:val="1"/>
                <w:szCs w:val="1"/>
                <w:color w:val="auto"/>
              </w:rPr>
            </w:pPr>
          </w:p>
        </w:tc>
      </w:tr>
      <w:tr>
        <w:trPr>
          <w:trHeight w:val="23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rPr>
                <w:sz w:val="1"/>
                <w:szCs w:val="1"/>
                <w:color w:val="auto"/>
              </w:rPr>
            </w:pPr>
          </w:p>
        </w:tc>
      </w:tr>
      <w:tr>
        <w:trPr>
          <w:trHeight w:val="234"/>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180"/>
        </w:trPr>
        <w:tc>
          <w:tcPr>
            <w:tcW w:w="40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Mortgage and asset-backed securities and</w:t>
            </w:r>
          </w:p>
        </w:tc>
        <w:tc>
          <w:tcPr>
            <w:tcW w:w="10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761.9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747.7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collateralized loan obligations</w:t>
            </w: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fixed maturity investments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2,913.2</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2,886.1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2,774.8</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2,770.5</w:t>
            </w:r>
          </w:p>
        </w:tc>
        <w:tc>
          <w:tcPr>
            <w:tcW w:w="0" w:type="dxa"/>
            <w:vAlign w:val="bottom"/>
          </w:tcPr>
          <w:p>
            <w:pPr>
              <w:spacing w:after="0"/>
              <w:rPr>
                <w:sz w:val="1"/>
                <w:szCs w:val="1"/>
                <w:color w:val="auto"/>
              </w:rPr>
            </w:pP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weighted average duration of White Mountains’s fixed maturity investments was 2.6 years and 2.5 years as of March 31, 2026 and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short-term investments, the weighted average duration was 1.7 years and 1.5 years as of March 31, 2026 and December 31, 2025.</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6" w:name="page17"/>
    <w:bookmarkEnd w:id="16"/>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cost or amortized cost, gross unrealized investment gains (losses), net foreign currency gains (losses) and carrying value of common equity securities, White Mountains’s investment in MediaAlpha and other long-term investments as of March 31, 2026 and December 31, 2025:</w:t>
      </w:r>
    </w:p>
    <w:p>
      <w:pPr>
        <w:spacing w:after="0" w:line="119" w:lineRule="exact"/>
        <w:rPr>
          <w:sz w:val="20"/>
          <w:szCs w:val="20"/>
          <w:color w:val="auto"/>
        </w:rPr>
      </w:pPr>
    </w:p>
    <w:tbl>
      <w:tblPr>
        <w:tblLayout w:type="fixed"/>
        <w:tblInd w:w="192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24"/>
                <w:szCs w:val="24"/>
                <w:color w:val="auto"/>
              </w:rPr>
            </w:pPr>
          </w:p>
        </w:tc>
        <w:tc>
          <w:tcPr>
            <w:tcW w:w="10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Foreign</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gridSpan w:val="2"/>
            <w:vMerge w:val="restart"/>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4"/>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40" w:type="dxa"/>
            <w:vAlign w:val="bottom"/>
          </w:tcPr>
          <w:p>
            <w:pPr>
              <w:spacing w:after="0"/>
              <w:rPr>
                <w:sz w:val="12"/>
                <w:szCs w:val="12"/>
                <w:color w:val="auto"/>
              </w:rPr>
            </w:pPr>
          </w:p>
        </w:tc>
        <w:tc>
          <w:tcPr>
            <w:tcW w:w="880" w:type="dxa"/>
            <w:vAlign w:val="bottom"/>
            <w:gridSpan w:val="2"/>
          </w:tcPr>
          <w:p>
            <w:pPr>
              <w:jc w:val="right"/>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940" w:type="dxa"/>
            <w:vAlign w:val="bottom"/>
            <w:tcBorders>
              <w:bottom w:val="single" w:sz="8" w:color="auto"/>
            </w:tcBorders>
            <w:vMerge w:val="continue"/>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gridSpan w:val="2"/>
          </w:tcPr>
          <w:p>
            <w:pPr>
              <w:spacing w:after="0"/>
              <w:rPr>
                <w:sz w:val="17"/>
                <w:szCs w:val="17"/>
                <w:color w:val="auto"/>
              </w:rPr>
            </w:pPr>
          </w:p>
        </w:tc>
        <w:tc>
          <w:tcPr>
            <w:tcW w:w="9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40" w:type="dxa"/>
            <w:vAlign w:val="bottom"/>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Common equity securities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483.8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73.4</w:t>
            </w:r>
          </w:p>
        </w:tc>
        <w:tc>
          <w:tcPr>
            <w:tcW w:w="3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546.5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8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Investment in</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59.2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106.9</w:t>
            </w:r>
          </w:p>
        </w:tc>
        <w:tc>
          <w:tcPr>
            <w:tcW w:w="3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166.1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MediaAlpha</w:t>
            </w:r>
          </w:p>
        </w:tc>
        <w:tc>
          <w:tcPr>
            <w:tcW w:w="160" w:type="dxa"/>
            <w:vAlign w:val="bottom"/>
            <w:gridSpan w:val="2"/>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gridSpan w:val="2"/>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300" w:type="dxa"/>
            <w:vAlign w:val="bottom"/>
            <w:gridSpan w:val="4"/>
            <w:vMerge w:val="continue"/>
          </w:tcPr>
          <w:p>
            <w:pPr>
              <w:spacing w:after="0"/>
              <w:rPr>
                <w:sz w:val="20"/>
                <w:szCs w:val="20"/>
                <w:color w:val="auto"/>
              </w:rPr>
            </w:pPr>
          </w:p>
        </w:tc>
        <w:tc>
          <w:tcPr>
            <w:tcW w:w="900" w:type="dxa"/>
            <w:vAlign w:val="bottom"/>
            <w:gridSpan w:val="3"/>
            <w:vMerge w:val="continue"/>
          </w:tcPr>
          <w:p>
            <w:pPr>
              <w:spacing w:after="0"/>
              <w:rPr>
                <w:sz w:val="20"/>
                <w:szCs w:val="20"/>
                <w:color w:val="auto"/>
              </w:rPr>
            </w:pPr>
          </w:p>
        </w:tc>
        <w:tc>
          <w:tcPr>
            <w:tcW w:w="180" w:type="dxa"/>
            <w:vAlign w:val="bottom"/>
            <w:gridSpan w:val="2"/>
            <w:vMerge w:val="continue"/>
          </w:tcPr>
          <w:p>
            <w:pPr>
              <w:spacing w:after="0"/>
              <w:rPr>
                <w:sz w:val="20"/>
                <w:szCs w:val="20"/>
                <w:color w:val="auto"/>
              </w:rPr>
            </w:pPr>
          </w:p>
        </w:tc>
        <w:tc>
          <w:tcPr>
            <w:tcW w:w="920" w:type="dxa"/>
            <w:vAlign w:val="bottom"/>
            <w:gridSpan w:val="3"/>
            <w:vMerge w:val="continue"/>
          </w:tcPr>
          <w:p>
            <w:pPr>
              <w:spacing w:after="0"/>
              <w:rPr>
                <w:sz w:val="20"/>
                <w:szCs w:val="20"/>
                <w:color w:val="auto"/>
              </w:rPr>
            </w:pPr>
          </w:p>
        </w:tc>
        <w:tc>
          <w:tcPr>
            <w:tcW w:w="16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8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Other long-term</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2,617.8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782.7</w:t>
            </w:r>
          </w:p>
        </w:tc>
        <w:tc>
          <w:tcPr>
            <w:tcW w:w="3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(133.9)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3,253.5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Borders>
              <w:bottom w:val="single" w:sz="8" w:color="auto"/>
            </w:tcBorders>
            <w:gridSpan w:val="2"/>
            <w:vMerge w:val="continue"/>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gridSpan w:val="2"/>
            <w:vMerge w:val="continue"/>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gridSpan w:val="4"/>
            <w:vMerge w:val="continue"/>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gridSpan w:val="2"/>
            <w:vMerge w:val="continue"/>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gridSpan w:val="2"/>
            <w:vMerge w:val="continue"/>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8"/>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8"/>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24"/>
                <w:szCs w:val="24"/>
                <w:color w:val="auto"/>
              </w:rPr>
            </w:pPr>
          </w:p>
        </w:tc>
        <w:tc>
          <w:tcPr>
            <w:tcW w:w="10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Foreign</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2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Common equity securities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Investment in MediaAlpha</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12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auto"/>
              </w:rPr>
              <w:t>Other long-term</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2,378.8</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(123.1)</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2,958.5</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3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Fair value measurements are categorized into a hierarchy that distinguishes between inputs based on market data from independent sources (observable inputs) and a reporting entity’s internal assumptions based upon the best information available when external market data is limited or unavailable (unobservable inputs). Quoted prices in active markets for identical assets or liabilities have the highest priority (Level 1), followed by observable inputs other than quoted prices, including prices for similar but not identical assets or liabilities (Level 2) and unobservable inputs, including the reporting entity’s estimates of the assumptions that market participants would use, having the lowest priority (Level 3).</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By Level</w:t>
      </w:r>
    </w:p>
    <w:p>
      <w:pPr>
        <w:spacing w:after="0" w:line="3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White Mountains classifies its portfolio of investment securities by major security type based on the legal form of the securities. White Mountains disaggregates its fixed maturity investments based on the issuing entity type, which impacts credit quality, with debt securities issued by U.S. government entities carrying minimal credit risk, while the credit and other risks associated with other issuers, such as corporations, foreign governments and agencies, entities issuing mortgage and asset-backed securities or entities issuing collateralized loan obligations vary depending on the nature of the issuing entity type. White Mountains further disaggregates debt securities issued by corporations by industry sector because investors often reference commonly used benchmarks and their subsectors to monitor risk and performance. Accordingly, White Mountains further disaggregates this asset class into subclasses based on the similar sectors and industry classifications it uses to evaluate investment risk and performance against commonly used benchmarks, such as the Bloomberg Intermediate U.S. Aggregate Index.</w:t>
      </w:r>
    </w:p>
    <w:p>
      <w:pPr>
        <w:spacing w:after="0" w:line="3"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The following tables present White Mountains’s fair value measurements for investments by security type and level as of March 31, 2026 and December 31, 2025:</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7" w:name="page18"/>
    <w:bookmarkEnd w:id="17"/>
    <w:tbl>
      <w:tblPr>
        <w:tblLayout w:type="fixed"/>
        <w:tblInd w:w="991" w:type="dxa"/>
        <w:tblCellMar>
          <w:top w:w="0" w:type="dxa"/>
          <w:left w:w="0" w:type="dxa"/>
          <w:bottom w:w="0" w:type="dxa"/>
          <w:right w:w="0" w:type="dxa"/>
        </w:tblCellMar>
      </w:tblPr>
      <w:tr>
        <w:trPr>
          <w:trHeight w:val="209"/>
        </w:trPr>
        <w:tc>
          <w:tcPr>
            <w:tcW w:w="4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160" w:type="dxa"/>
            <w:vAlign w:val="bottom"/>
            <w:tcBorders>
              <w:top w:val="single" w:sz="8" w:color="auto"/>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r>
      <w:tr>
        <w:trPr>
          <w:trHeight w:val="196"/>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5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maturity investments:</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477.7</w:t>
            </w:r>
          </w:p>
        </w:tc>
        <w:tc>
          <w:tcPr>
            <w:tcW w:w="1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477.7</w:t>
            </w:r>
          </w:p>
        </w:tc>
        <w:tc>
          <w:tcPr>
            <w:tcW w:w="14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Debt securities issued by corporations:</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4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Financials</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589.4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589.4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326.0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151.8</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151.8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Healthcare</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142.9</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142.9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113.6</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113.6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Utilities</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99.9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Materials</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80.5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Communications</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68.4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Energy</w:t>
            </w: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56.3</w:t>
            </w:r>
          </w:p>
        </w:tc>
        <w:tc>
          <w:tcPr>
            <w:tcW w:w="1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56.3</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44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Total debt securities issued by corporations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1,628.8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1,628.8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402.5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Collateralized loan obligations</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345.2</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345.2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government and agency obligations</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31.9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4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fixed maturity investments</w:t>
            </w: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2,886.1</w:t>
            </w:r>
          </w:p>
        </w:tc>
        <w:tc>
          <w:tcPr>
            <w:tcW w:w="1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477.7</w:t>
            </w:r>
          </w:p>
        </w:tc>
        <w:tc>
          <w:tcPr>
            <w:tcW w:w="1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2,408.4</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1,501.8</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1,496.8</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equity securities:</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Exchange-traded funds</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9"/>
                <w:szCs w:val="9"/>
                <w:color w:val="auto"/>
              </w:rPr>
              <w:t>(1)</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399.2</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399.2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4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common equity securities</w:t>
            </w: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546.5</w:t>
            </w:r>
          </w:p>
        </w:tc>
        <w:tc>
          <w:tcPr>
            <w:tcW w:w="1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147.3</w:t>
            </w:r>
          </w:p>
        </w:tc>
        <w:tc>
          <w:tcPr>
            <w:tcW w:w="1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399.2</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in MediaAlpha</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2,050.4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33.9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2,016.5</w:t>
            </w:r>
          </w:p>
        </w:tc>
      </w:tr>
      <w:tr>
        <w:trPr>
          <w:trHeight w:val="27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long-term investments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net asset value </w:t>
            </w:r>
            <w:r>
              <w:rPr>
                <w:rFonts w:ascii="Times New Roman" w:cs="Times New Roman" w:eastAsia="Times New Roman" w:hAnsi="Times New Roman"/>
                <w:sz w:val="9"/>
                <w:szCs w:val="9"/>
                <w:color w:val="auto"/>
              </w:rPr>
              <w:t>(2)</w:t>
            </w: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1,203.1</w:t>
            </w:r>
          </w:p>
        </w:tc>
        <w:tc>
          <w:tcPr>
            <w:tcW w:w="1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4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other long-term investments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3,253.5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2,016.5</w:t>
            </w:r>
          </w:p>
        </w:tc>
      </w:tr>
      <w:tr>
        <w:trPr>
          <w:trHeight w:val="223"/>
        </w:trPr>
        <w:tc>
          <w:tcPr>
            <w:tcW w:w="448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8,354.0</w:t>
            </w:r>
          </w:p>
        </w:tc>
        <w:tc>
          <w:tcPr>
            <w:tcW w:w="14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2,287.9</w:t>
            </w:r>
          </w:p>
        </w:tc>
        <w:tc>
          <w:tcPr>
            <w:tcW w:w="14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2,846.5</w:t>
            </w:r>
          </w:p>
        </w:tc>
        <w:tc>
          <w:tcPr>
            <w:tcW w:w="1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2,016.5</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151" w:hanging="151"/>
        <w:spacing w:after="0"/>
        <w:tabs>
          <w:tab w:leader="none" w:pos="151"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Consists of investments in listed funds that predominantly invest in international equities.</w:t>
      </w:r>
    </w:p>
    <w:p>
      <w:pPr>
        <w:spacing w:after="0" w:line="27" w:lineRule="exact"/>
        <w:rPr>
          <w:rFonts w:ascii="Times New Roman" w:cs="Times New Roman" w:eastAsia="Times New Roman" w:hAnsi="Times New Roman"/>
          <w:sz w:val="9"/>
          <w:szCs w:val="9"/>
          <w:color w:val="auto"/>
        </w:rPr>
      </w:pPr>
    </w:p>
    <w:p>
      <w:pPr>
        <w:ind w:left="171" w:hanging="171"/>
        <w:spacing w:after="0" w:line="221" w:lineRule="auto"/>
        <w:tabs>
          <w:tab w:leader="none" w:pos="154"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Consists of investments in the BroadStreet SPV, private equity funds and hedge funds, a bank loan fund, Lloyd’s trust deposits and insurance-linked securities (“ILS”) funds for which fair value is measured using NAV as a practical expedient. Investments for which fair value is measured at NAV are not classified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7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91"/>
          </w:cols>
          <w:pgMar w:left="409" w:top="1011" w:right="599" w:bottom="1440" w:gutter="0" w:footer="0" w:header="0"/>
        </w:sectPr>
      </w:pPr>
    </w:p>
    <w:bookmarkStart w:id="18" w:name="page19"/>
    <w:bookmarkEnd w:id="18"/>
    <w:tbl>
      <w:tblPr>
        <w:tblLayout w:type="fixed"/>
        <w:tblInd w:w="1012" w:type="dxa"/>
        <w:tblCellMar>
          <w:top w:w="0" w:type="dxa"/>
          <w:left w:w="0" w:type="dxa"/>
          <w:bottom w:w="0" w:type="dxa"/>
          <w:right w:w="0" w:type="dxa"/>
        </w:tblCellMar>
      </w:tblPr>
      <w:tr>
        <w:trPr>
          <w:trHeight w:val="209"/>
        </w:trPr>
        <w:tc>
          <w:tcPr>
            <w:tcW w:w="44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200" w:type="dxa"/>
            <w:vAlign w:val="bottom"/>
            <w:tcBorders>
              <w:top w:val="single" w:sz="8" w:color="auto"/>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r>
      <w:tr>
        <w:trPr>
          <w:trHeight w:val="196"/>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56"/>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maturity investments:</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14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460.3</w:t>
            </w:r>
          </w:p>
        </w:tc>
        <w:tc>
          <w:tcPr>
            <w:tcW w:w="14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Debt securities issued by corporations:</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4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Financials</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531.5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306.2</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Healthcare</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Technology</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Utilities</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Materials</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78.7</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Communications</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Energy</w:t>
            </w: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60.1</w:t>
            </w:r>
          </w:p>
        </w:tc>
        <w:tc>
          <w:tcPr>
            <w:tcW w:w="1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debt securities issued by corporations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1,537.7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393.0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Collateralized loan obligations</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347.0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government and agency obligations</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fixed maturity investments</w:t>
            </w: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2,770.5</w:t>
            </w:r>
          </w:p>
        </w:tc>
        <w:tc>
          <w:tcPr>
            <w:tcW w:w="1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460.3</w:t>
            </w:r>
          </w:p>
        </w:tc>
        <w:tc>
          <w:tcPr>
            <w:tcW w:w="1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2,310.2</w:t>
            </w:r>
          </w:p>
        </w:tc>
        <w:tc>
          <w:tcPr>
            <w:tcW w:w="1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1,881.7</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1,871.7</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equity securities:</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Exchange-traded funds</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9"/>
                <w:szCs w:val="9"/>
                <w:color w:val="auto"/>
              </w:rPr>
              <w:t>(1)</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452.3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common equity securities</w:t>
            </w: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452.3</w:t>
            </w:r>
          </w:p>
        </w:tc>
        <w:tc>
          <w:tcPr>
            <w:tcW w:w="1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in MediaAlpha</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231.2</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1,814.4</w:t>
            </w:r>
          </w:p>
        </w:tc>
      </w:tr>
      <w:tr>
        <w:trPr>
          <w:trHeight w:val="27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long-term investments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NAV </w:t>
            </w:r>
            <w:r>
              <w:rPr>
                <w:rFonts w:ascii="Times New Roman" w:cs="Times New Roman" w:eastAsia="Times New Roman" w:hAnsi="Times New Roman"/>
                <w:sz w:val="9"/>
                <w:szCs w:val="9"/>
                <w:color w:val="auto"/>
              </w:rPr>
              <w:t>(2)</w:t>
            </w: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1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other long-term investments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1,814.4</w:t>
            </w:r>
          </w:p>
        </w:tc>
      </w:tr>
      <w:tr>
        <w:trPr>
          <w:trHeight w:val="223"/>
        </w:trPr>
        <w:tc>
          <w:tcPr>
            <w:tcW w:w="458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8,324.9</w:t>
            </w:r>
          </w:p>
        </w:tc>
        <w:tc>
          <w:tcPr>
            <w:tcW w:w="14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2,593.9</w:t>
            </w:r>
          </w:p>
        </w:tc>
        <w:tc>
          <w:tcPr>
            <w:tcW w:w="14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2,806.2</w:t>
            </w:r>
          </w:p>
        </w:tc>
        <w:tc>
          <w:tcPr>
            <w:tcW w:w="14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1,814.4</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152" w:hanging="152"/>
        <w:spacing w:after="0"/>
        <w:tabs>
          <w:tab w:leader="none" w:pos="152"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Consists of investments in listed funds that predominantly invest in international equities.</w:t>
      </w:r>
    </w:p>
    <w:p>
      <w:pPr>
        <w:spacing w:after="0" w:line="27" w:lineRule="exact"/>
        <w:rPr>
          <w:rFonts w:ascii="Times New Roman" w:cs="Times New Roman" w:eastAsia="Times New Roman" w:hAnsi="Times New Roman"/>
          <w:sz w:val="9"/>
          <w:szCs w:val="9"/>
          <w:color w:val="auto"/>
        </w:rPr>
      </w:pPr>
    </w:p>
    <w:p>
      <w:pPr>
        <w:ind w:left="172" w:hanging="172"/>
        <w:spacing w:after="0" w:line="213" w:lineRule="auto"/>
        <w:tabs>
          <w:tab w:leader="none" w:pos="155"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Consists of investments in the BroadStreet SPV, private equity funds and hedge funds, a bank loan fund, Lloyd’s trust deposits and ILS funds for which fair value is measured using NAV as a practical expedient. Investments for which fair value is measured at NAV are not classified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92"/>
          </w:cols>
          <w:pgMar w:left="328" w:top="1011"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Investments Held on Deposit or as Collateral</w:t>
      </w:r>
    </w:p>
    <w:p>
      <w:pPr>
        <w:spacing w:after="0" w:line="256"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18"/>
          <w:szCs w:val="18"/>
          <w:color w:val="auto"/>
        </w:rPr>
        <w:t>Lloyd’s trust deposits are generally required of Lloyd's syndicates to protect policyholders in non-U.K. markets and are pledged into Lloyd’s trust accounts to provide a portion of the capital needed to support obligations at Lloyd’s. As of March 31, 2026 and December 31, 2025, Ark held Lloyd’s trust deposits with a fair value of $176.4 million and $180.4 million.</w:t>
      </w:r>
    </w:p>
    <w:p>
      <w:pPr>
        <w:spacing w:after="0" w:line="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The underwriting capacity of a member of Lloyd’s must be supported by providing a deposit (“Funds at Lloyd’s”) in the form of cash, securities or letters of credit in an amount determined by Lloyd’s. The amount of such deposit is calculated for each member through an annual capital adequacy determination by Lloyd’s. As of March 31, 2026 and December 31, 2025, the fair value of Ark’s Funds at Lloyd’s cash and investment deposits totaled $353.7 million and $361.6 million.</w:t>
      </w:r>
    </w:p>
    <w:p>
      <w:pPr>
        <w:spacing w:after="0" w:line="3" w:lineRule="exact"/>
        <w:rPr>
          <w:sz w:val="20"/>
          <w:szCs w:val="20"/>
          <w:color w:val="auto"/>
        </w:rPr>
      </w:pPr>
    </w:p>
    <w:p>
      <w:pPr>
        <w:ind w:right="660"/>
        <w:spacing w:after="0" w:line="234" w:lineRule="auto"/>
        <w:rPr>
          <w:sz w:val="20"/>
          <w:szCs w:val="20"/>
          <w:color w:val="auto"/>
        </w:rPr>
      </w:pPr>
      <w:r>
        <w:rPr>
          <w:rFonts w:ascii="Times New Roman" w:cs="Times New Roman" w:eastAsia="Times New Roman" w:hAnsi="Times New Roman"/>
          <w:sz w:val="18"/>
          <w:szCs w:val="18"/>
          <w:color w:val="auto"/>
        </w:rPr>
        <w:t>As of March 31, 2026 and December 31, 2025, Ark held additional investments on deposit or as collateral for insurance regulators and reinsurance counterparties of $253.6 million and $257.2 million.</w:t>
      </w:r>
    </w:p>
    <w:p>
      <w:pPr>
        <w:spacing w:after="0" w:line="1" w:lineRule="exact"/>
        <w:rPr>
          <w:sz w:val="20"/>
          <w:szCs w:val="20"/>
          <w:color w:val="auto"/>
        </w:rPr>
      </w:pPr>
    </w:p>
    <w:p>
      <w:pPr>
        <w:ind w:right="440"/>
        <w:spacing w:after="0" w:line="226" w:lineRule="auto"/>
        <w:rPr>
          <w:sz w:val="20"/>
          <w:szCs w:val="20"/>
          <w:color w:val="auto"/>
        </w:rPr>
      </w:pPr>
      <w:r>
        <w:rPr>
          <w:rFonts w:ascii="Times New Roman" w:cs="Times New Roman" w:eastAsia="Times New Roman" w:hAnsi="Times New Roman"/>
          <w:sz w:val="18"/>
          <w:szCs w:val="18"/>
          <w:color w:val="auto"/>
        </w:rPr>
        <w:t>As of March 31, 2026 and December 31, 2025, investments of $117.7 million and $245.7 million were held in a collateral trust account required to be maintained in relation to WM Outrigger Re’s reinsurance agreement with GAIL.</w:t>
      </w:r>
    </w:p>
    <w:p>
      <w:pPr>
        <w:spacing w:after="0" w:line="236" w:lineRule="auto"/>
        <w:rPr>
          <w:sz w:val="20"/>
          <w:szCs w:val="20"/>
          <w:color w:val="auto"/>
        </w:rPr>
      </w:pPr>
      <w:r>
        <w:rPr>
          <w:rFonts w:ascii="Times New Roman" w:cs="Times New Roman" w:eastAsia="Times New Roman" w:hAnsi="Times New Roman"/>
          <w:sz w:val="18"/>
          <w:szCs w:val="18"/>
          <w:color w:val="auto"/>
        </w:rPr>
        <w:t xml:space="preserve">Ark is required to pledge collateral under its standby letters of credit. See </w:t>
      </w:r>
      <w:r>
        <w:rPr>
          <w:rFonts w:ascii="Times New Roman" w:cs="Times New Roman" w:eastAsia="Times New Roman" w:hAnsi="Times New Roman"/>
          <w:sz w:val="18"/>
          <w:szCs w:val="18"/>
          <w:b w:val="1"/>
          <w:bCs w:val="1"/>
          <w:color w:val="auto"/>
        </w:rPr>
        <w:t>Note 7 — “Debt.”</w:t>
      </w:r>
    </w:p>
    <w:p>
      <w:pPr>
        <w:spacing w:after="0" w:line="235" w:lineRule="auto"/>
        <w:rPr>
          <w:sz w:val="20"/>
          <w:szCs w:val="20"/>
          <w:color w:val="auto"/>
        </w:rPr>
      </w:pPr>
      <w:r>
        <w:rPr>
          <w:rFonts w:ascii="Times New Roman" w:cs="Times New Roman" w:eastAsia="Times New Roman" w:hAnsi="Times New Roman"/>
          <w:sz w:val="18"/>
          <w:szCs w:val="18"/>
          <w:color w:val="auto"/>
        </w:rPr>
        <w:t xml:space="preserve">Kudu is required to maintain an interest reserve account in connection with its credit facility. See </w:t>
      </w:r>
      <w:r>
        <w:rPr>
          <w:rFonts w:ascii="Times New Roman" w:cs="Times New Roman" w:eastAsia="Times New Roman" w:hAnsi="Times New Roman"/>
          <w:sz w:val="18"/>
          <w:szCs w:val="18"/>
          <w:b w:val="1"/>
          <w:bCs w:val="1"/>
          <w:color w:val="auto"/>
        </w:rPr>
        <w:t>Note 7 - “Debt.”</w:t>
      </w:r>
    </w:p>
    <w:p>
      <w:pPr>
        <w:ind w:right="40"/>
        <w:spacing w:after="0" w:line="234" w:lineRule="auto"/>
        <w:rPr>
          <w:sz w:val="20"/>
          <w:szCs w:val="20"/>
          <w:color w:val="auto"/>
        </w:rPr>
      </w:pPr>
      <w:r>
        <w:rPr>
          <w:rFonts w:ascii="Times New Roman" w:cs="Times New Roman" w:eastAsia="Times New Roman" w:hAnsi="Times New Roman"/>
          <w:sz w:val="18"/>
          <w:szCs w:val="18"/>
          <w:color w:val="auto"/>
        </w:rPr>
        <w:t xml:space="preserve">HG Re is required to maintain assets, including investments, in collateral trusts under the first-loss reinsurance treaty (“FLRT”) with BAM. See </w:t>
      </w:r>
      <w:r>
        <w:rPr>
          <w:rFonts w:ascii="Times New Roman" w:cs="Times New Roman" w:eastAsia="Times New Roman" w:hAnsi="Times New Roman"/>
          <w:sz w:val="18"/>
          <w:szCs w:val="18"/>
          <w:b w:val="1"/>
          <w:bCs w:val="1"/>
          <w:color w:val="auto"/>
        </w:rPr>
        <w:t>Note 10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“Municipal Bond Guarantee Reinsurance.”</w:t>
      </w:r>
    </w:p>
    <w:p>
      <w:pPr>
        <w:spacing w:after="0" w:line="236" w:lineRule="auto"/>
        <w:rPr>
          <w:sz w:val="20"/>
          <w:szCs w:val="20"/>
          <w:color w:val="auto"/>
        </w:rPr>
      </w:pPr>
      <w:r>
        <w:rPr>
          <w:rFonts w:ascii="Times New Roman" w:cs="Times New Roman" w:eastAsia="Times New Roman" w:hAnsi="Times New Roman"/>
          <w:sz w:val="18"/>
          <w:szCs w:val="18"/>
          <w:color w:val="auto"/>
        </w:rPr>
        <w:t xml:space="preserve">HG Global is required to maintain an interest reserve account in connection with its senior notes. See </w:t>
      </w:r>
      <w:r>
        <w:rPr>
          <w:rFonts w:ascii="Times New Roman" w:cs="Times New Roman" w:eastAsia="Times New Roman" w:hAnsi="Times New Roman"/>
          <w:sz w:val="18"/>
          <w:szCs w:val="18"/>
          <w:b w:val="1"/>
          <w:bCs w:val="1"/>
          <w:color w:val="auto"/>
        </w:rPr>
        <w:t>Note 7 — “Debt.”</w:t>
      </w:r>
    </w:p>
    <w:p>
      <w:pPr>
        <w:ind w:right="160"/>
        <w:spacing w:after="0" w:line="243" w:lineRule="auto"/>
        <w:rPr>
          <w:sz w:val="20"/>
          <w:szCs w:val="20"/>
          <w:color w:val="auto"/>
        </w:rPr>
      </w:pPr>
      <w:r>
        <w:rPr>
          <w:rFonts w:ascii="Times New Roman" w:cs="Times New Roman" w:eastAsia="Times New Roman" w:hAnsi="Times New Roman"/>
          <w:sz w:val="18"/>
          <w:szCs w:val="18"/>
          <w:color w:val="auto"/>
        </w:rPr>
        <w:t>As of March 31, 2026 and December 31, 2025, investments of $56.0 million and $56.8 million were held on deposit, primarily related to amounts held on behalf of Distinguished’s insurance carrier partners and certain insureds.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 Issued by Corporations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values for credit ratings of debt securities issued by corporations held in White Mountains’s investment portfolio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December 31, 2025:</w:t>
      </w:r>
    </w:p>
    <w:p>
      <w:pPr>
        <w:spacing w:after="0" w:line="151" w:lineRule="exact"/>
        <w:rPr>
          <w:sz w:val="20"/>
          <w:szCs w:val="20"/>
          <w:color w:val="auto"/>
        </w:rPr>
      </w:pPr>
    </w:p>
    <w:tbl>
      <w:tblPr>
        <w:tblLayout w:type="fixed"/>
        <w:tblInd w:w="1660" w:type="dxa"/>
        <w:tblCellMar>
          <w:top w:w="0" w:type="dxa"/>
          <w:left w:w="0" w:type="dxa"/>
          <w:bottom w:w="0" w:type="dxa"/>
          <w:right w:w="0" w:type="dxa"/>
        </w:tblCellMar>
      </w:tblPr>
      <w:tr>
        <w:trPr>
          <w:trHeight w:val="209"/>
        </w:trPr>
        <w:tc>
          <w:tcPr>
            <w:tcW w:w="4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420" w:type="dxa"/>
            <w:vAlign w:val="bottom"/>
            <w:tcBorders>
              <w:top w:val="single" w:sz="8" w:color="auto"/>
              <w:bottom w:val="single" w:sz="8" w:color="auto"/>
            </w:tcBorders>
            <w:gridSpan w:val="4"/>
          </w:tcPr>
          <w:p>
            <w:pPr>
              <w:jc w:val="right"/>
              <w:ind w:right="1352"/>
              <w:spacing w:after="0"/>
              <w:rPr>
                <w:sz w:val="20"/>
                <w:szCs w:val="20"/>
                <w:color w:val="auto"/>
              </w:rPr>
            </w:pPr>
            <w:r>
              <w:rPr>
                <w:rFonts w:ascii="Times New Roman" w:cs="Times New Roman" w:eastAsia="Times New Roman" w:hAnsi="Times New Roman"/>
                <w:sz w:val="14"/>
                <w:szCs w:val="14"/>
                <w:b w:val="1"/>
                <w:bCs w:val="1"/>
                <w:color w:val="auto"/>
              </w:rPr>
              <w:t>Fair Value at</w:t>
            </w:r>
          </w:p>
        </w:tc>
      </w:tr>
      <w:tr>
        <w:trPr>
          <w:trHeight w:val="196"/>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7"/>
                <w:szCs w:val="17"/>
                <w:color w:val="auto"/>
              </w:rPr>
            </w:pPr>
          </w:p>
        </w:tc>
        <w:tc>
          <w:tcPr>
            <w:tcW w:w="15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0"/>
        </w:trPr>
        <w:tc>
          <w:tcPr>
            <w:tcW w:w="4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AA</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711.7</w:t>
            </w: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BBB</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716.9</w:t>
            </w: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BB</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8"/>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42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Debt securities issued by corporations </w:t>
            </w:r>
            <w:r>
              <w:rPr>
                <w:rFonts w:ascii="Times New Roman" w:cs="Times New Roman" w:eastAsia="Times New Roman" w:hAnsi="Times New Roman"/>
                <w:sz w:val="9"/>
                <w:szCs w:val="9"/>
                <w:color w:val="auto"/>
              </w:rPr>
              <w:t>(1)</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1,628.8</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1,537.7</w:t>
            </w: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1540" w:right="1360" w:hanging="155"/>
        <w:spacing w:after="0" w:line="312" w:lineRule="auto"/>
        <w:tabs>
          <w:tab w:leader="none" w:pos="1510"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Credit ratings are based upon issuer credit ratings provided by Standard &amp; Poor’s Financial Services LLC (“Standard &amp; Poor’s”), or if unrated by Standard &amp; Poor’s, long-term obligation ratings provided by Moody’s Investor Service, Inc.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Mortgage and Asset-backed Securities and Collateralized Loan Obligations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White Mountains’s mortgage and asset-backed securities and collateralized loan obligations as of March 31, 2026 and December 31, 2025:</w:t>
      </w:r>
    </w:p>
    <w:p>
      <w:pPr>
        <w:spacing w:after="0" w:line="119" w:lineRule="exact"/>
        <w:rPr>
          <w:sz w:val="20"/>
          <w:szCs w:val="20"/>
          <w:color w:val="auto"/>
        </w:rPr>
      </w:pPr>
    </w:p>
    <w:tbl>
      <w:tblPr>
        <w:tblLayout w:type="fixed"/>
        <w:tblInd w:w="1040" w:type="dxa"/>
        <w:tblCellMar>
          <w:top w:w="0" w:type="dxa"/>
          <w:left w:w="0" w:type="dxa"/>
          <w:bottom w:w="0" w:type="dxa"/>
          <w:right w:w="0" w:type="dxa"/>
        </w:tblCellMar>
      </w:tblPr>
      <w:tr>
        <w:trPr>
          <w:trHeight w:val="209"/>
        </w:trPr>
        <w:tc>
          <w:tcPr>
            <w:tcW w:w="30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5"/>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7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7"/>
                <w:szCs w:val="17"/>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7"/>
                <w:szCs w:val="17"/>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7"/>
                <w:szCs w:val="17"/>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4"/>
        </w:trPr>
        <w:tc>
          <w:tcPr>
            <w:tcW w:w="3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Mortgage-backed securities:</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Agency:</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201.2</w:t>
            </w: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201.2</w:t>
            </w:r>
          </w:p>
        </w:tc>
        <w:tc>
          <w:tcPr>
            <w:tcW w:w="12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FNMA</w:t>
            </w:r>
          </w:p>
        </w:tc>
        <w:tc>
          <w:tcPr>
            <w:tcW w:w="12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FHLMC</w:t>
            </w:r>
          </w:p>
        </w:tc>
        <w:tc>
          <w:tcPr>
            <w:tcW w:w="12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GNMA</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2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xml:space="preserve">Total agency </w:t>
            </w:r>
            <w:r>
              <w:rPr>
                <w:rFonts w:ascii="Times New Roman" w:cs="Times New Roman" w:eastAsia="Times New Roman" w:hAnsi="Times New Roman"/>
                <w:sz w:val="9"/>
                <w:szCs w:val="9"/>
                <w:color w:val="auto"/>
              </w:rPr>
              <w:t>(1)</w:t>
            </w:r>
          </w:p>
        </w:tc>
        <w:tc>
          <w:tcPr>
            <w:tcW w:w="12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357.4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357.4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3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mortgage-backed securities</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357.4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357.4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asset-backed securities:</w:t>
            </w:r>
          </w:p>
        </w:tc>
        <w:tc>
          <w:tcPr>
            <w:tcW w:w="120" w:type="dxa"/>
            <w:vAlign w:val="bottom"/>
          </w:tcPr>
          <w:p>
            <w:pPr>
              <w:spacing w:after="0"/>
              <w:rPr>
                <w:sz w:val="20"/>
                <w:szCs w:val="20"/>
                <w:color w:val="auto"/>
              </w:rPr>
            </w:pPr>
          </w:p>
        </w:tc>
        <w:tc>
          <w:tcPr>
            <w:tcW w:w="78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Vehicle receivables</w:t>
            </w:r>
          </w:p>
        </w:tc>
        <w:tc>
          <w:tcPr>
            <w:tcW w:w="1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Credit card receivables</w:t>
            </w:r>
          </w:p>
        </w:tc>
        <w:tc>
          <w:tcPr>
            <w:tcW w:w="12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other asset-backed securities</w:t>
            </w: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45.1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45.1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3220" w:type="dxa"/>
            <w:vAlign w:val="bottom"/>
            <w:gridSpan w:val="2"/>
          </w:tcPr>
          <w:p>
            <w:pPr>
              <w:ind w:left="220"/>
              <w:spacing w:after="0" w:line="156" w:lineRule="exact"/>
              <w:rPr>
                <w:sz w:val="20"/>
                <w:szCs w:val="20"/>
                <w:color w:val="auto"/>
              </w:rPr>
            </w:pPr>
            <w:r>
              <w:rPr>
                <w:rFonts w:ascii="Times New Roman" w:cs="Times New Roman" w:eastAsia="Times New Roman" w:hAnsi="Times New Roman"/>
                <w:sz w:val="18"/>
                <w:szCs w:val="18"/>
                <w:color w:val="auto"/>
              </w:rPr>
              <w:t>Total mortgage and asset-backed</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402.5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402.5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Collateralized loan obligations</w:t>
            </w:r>
          </w:p>
        </w:tc>
        <w:tc>
          <w:tcPr>
            <w:tcW w:w="12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345.2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345.2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3220" w:type="dxa"/>
            <w:vAlign w:val="bottom"/>
            <w:gridSpan w:val="2"/>
          </w:tcPr>
          <w:p>
            <w:pPr>
              <w:ind w:left="220"/>
              <w:spacing w:after="0" w:line="156" w:lineRule="exact"/>
              <w:rPr>
                <w:sz w:val="20"/>
                <w:szCs w:val="20"/>
                <w:color w:val="auto"/>
              </w:rPr>
            </w:pPr>
            <w:r>
              <w:rPr>
                <w:rFonts w:ascii="Times New Roman" w:cs="Times New Roman" w:eastAsia="Times New Roman" w:hAnsi="Times New Roman"/>
                <w:sz w:val="18"/>
                <w:szCs w:val="18"/>
                <w:color w:val="auto"/>
              </w:rPr>
              <w:t>Total mortgage and asset-backed</w:t>
            </w: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22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747.7</w:t>
            </w: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747.7</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and collateralized loan obligations</w:t>
            </w:r>
          </w:p>
        </w:tc>
        <w:tc>
          <w:tcPr>
            <w:tcW w:w="120" w:type="dxa"/>
            <w:vAlign w:val="bottom"/>
            <w:tcBorders>
              <w:bottom w:val="single" w:sz="8" w:color="auto"/>
            </w:tcBorders>
            <w:vMerge w:val="continue"/>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gridSpan w:val="2"/>
            <w:vMerge w:val="continue"/>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820" w:type="dxa"/>
            <w:vAlign w:val="bottom"/>
            <w:tcBorders>
              <w:bottom w:val="single" w:sz="8" w:color="auto"/>
            </w:tcBorders>
            <w:gridSpan w:val="2"/>
            <w:vMerge w:val="continue"/>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3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180" w:right="220" w:hanging="172"/>
        <w:spacing w:after="0" w:line="302" w:lineRule="auto"/>
        <w:tabs>
          <w:tab w:leader="none" w:pos="22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publicly traded mortgage-backed securities which carry the full faith and credit guarantee of the U.S. Government (i.e., GNMA) or are guaranteed by a government sponsored entity (i.e., FNMA, FHLMC).</w:t>
      </w:r>
    </w:p>
    <w:p>
      <w:pPr>
        <w:spacing w:after="0" w:line="193"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White Mountains’s investment portfolio included $345.2 million and $347.0 million of collateralized loan obligations that are within the senior tranches of their respective fund securitization structures. All of White Mountains’s collateral loan obligations were rated AAA or AA as of March 31, 2026 and December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MediaAlpha</w:t>
      </w:r>
    </w:p>
    <w:p>
      <w:pPr>
        <w:spacing w:after="0" w:line="256" w:lineRule="exact"/>
        <w:rPr>
          <w:sz w:val="20"/>
          <w:szCs w:val="20"/>
          <w:color w:val="auto"/>
        </w:rPr>
      </w:pPr>
    </w:p>
    <w:p>
      <w:pPr>
        <w:ind w:right="20" w:firstLine="405"/>
        <w:spacing w:after="0" w:line="246" w:lineRule="auto"/>
        <w:rPr>
          <w:sz w:val="20"/>
          <w:szCs w:val="20"/>
          <w:color w:val="auto"/>
        </w:rPr>
      </w:pPr>
      <w:r>
        <w:rPr>
          <w:rFonts w:ascii="Times New Roman" w:cs="Times New Roman" w:eastAsia="Times New Roman" w:hAnsi="Times New Roman"/>
          <w:sz w:val="18"/>
          <w:szCs w:val="18"/>
          <w:color w:val="auto"/>
        </w:rPr>
        <w:t>White Mountains’s investment in MediaAlpha is accounted for at fair value based on the publicly traded share price of MediaAlpha’s common stock and is presented as a separate line item on the balance sheet.</w:t>
      </w:r>
    </w:p>
    <w:p>
      <w:pPr>
        <w:spacing w:after="0" w:line="1" w:lineRule="exact"/>
        <w:rPr>
          <w:sz w:val="20"/>
          <w:szCs w:val="20"/>
          <w:color w:val="auto"/>
        </w:rPr>
      </w:pPr>
    </w:p>
    <w:p>
      <w:pPr>
        <w:ind w:firstLine="405"/>
        <w:spacing w:after="0" w:line="230" w:lineRule="auto"/>
        <w:rPr>
          <w:sz w:val="20"/>
          <w:szCs w:val="20"/>
          <w:color w:val="auto"/>
        </w:rPr>
      </w:pPr>
      <w:r>
        <w:rPr>
          <w:rFonts w:ascii="Times New Roman" w:cs="Times New Roman" w:eastAsia="Times New Roman" w:hAnsi="Times New Roman"/>
          <w:sz w:val="18"/>
          <w:szCs w:val="18"/>
          <w:color w:val="auto"/>
        </w:rPr>
        <w:t>As of March 31, 2026, White Mountains owned 17.9 million shares of MediaAlpha, representing a 28.4% basic ownership interest based on the total class A and class B common shares outstanding. At the March 31, 2026 share price of $9.30, the fair value of White Mountains’s investment in MediaAlpha was $166.1 million. At White Mountains’s March 31, 2026 level of ownership, each $1.00 per share increase or decrease in the share price of MediaAlpha will result in an approximate $7.00 per share increase or decrease in White Mountains’s book value per share.</w:t>
      </w:r>
    </w:p>
    <w:p>
      <w:pPr>
        <w:spacing w:after="0" w:line="3" w:lineRule="exact"/>
        <w:rPr>
          <w:sz w:val="20"/>
          <w:szCs w:val="20"/>
          <w:color w:val="auto"/>
        </w:rPr>
      </w:pPr>
    </w:p>
    <w:p>
      <w:pPr>
        <w:jc w:val="both"/>
        <w:ind w:right="100" w:firstLine="405"/>
        <w:spacing w:after="0" w:line="239" w:lineRule="auto"/>
        <w:rPr>
          <w:sz w:val="20"/>
          <w:szCs w:val="20"/>
          <w:color w:val="auto"/>
        </w:rPr>
      </w:pPr>
      <w:r>
        <w:rPr>
          <w:rFonts w:ascii="Times New Roman" w:cs="Times New Roman" w:eastAsia="Times New Roman" w:hAnsi="Times New Roman"/>
          <w:sz w:val="18"/>
          <w:szCs w:val="18"/>
          <w:color w:val="auto"/>
        </w:rPr>
        <w:t>As of December 31, 2025, White Mountains owned 17.9 million shares of MediaAlpha, representing a 27.7% basic ownership interest based on the total class A and class B common shares outstanding. At the December 31, 2025 share price of $12.95, the fair value of White Mountains’s investment in MediaAlpha was $231.2 million.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41"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Other Long-Term Investments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the carrying values of White Mountains’s other long-term investments by reportable segment as of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2520" w:type="dxa"/>
            <w:vAlign w:val="bottom"/>
            <w:tcBorders>
              <w:top w:val="single" w:sz="8" w:color="auto"/>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Fair Value as of March 31, 2026</w:t>
            </w:r>
          </w:p>
        </w:tc>
        <w:tc>
          <w:tcPr>
            <w:tcW w:w="6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r>
      <w:tr>
        <w:trPr>
          <w:trHeight w:val="19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7"/>
                <w:szCs w:val="17"/>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Ark/ WM Outrigger</w:t>
            </w:r>
          </w:p>
        </w:tc>
        <w:tc>
          <w:tcPr>
            <w:tcW w:w="400" w:type="dxa"/>
            <w:vAlign w:val="bottom"/>
          </w:tcPr>
          <w:p>
            <w:pPr>
              <w:spacing w:after="0"/>
              <w:rPr>
                <w:sz w:val="17"/>
                <w:szCs w:val="17"/>
                <w:color w:val="auto"/>
              </w:rPr>
            </w:pPr>
          </w:p>
        </w:tc>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Kudu</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0"/>
        </w:trPr>
        <w:tc>
          <w:tcPr>
            <w:tcW w:w="3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Kudu’s Participation Contracts</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1,352.2</w:t>
            </w:r>
          </w:p>
        </w:tc>
        <w:tc>
          <w:tcPr>
            <w:tcW w:w="80" w:type="dxa"/>
            <w:vAlign w:val="bottom"/>
          </w:tcPr>
          <w:p>
            <w:pPr>
              <w:spacing w:after="0"/>
              <w:rPr>
                <w:sz w:val="19"/>
                <w:szCs w:val="19"/>
                <w:color w:val="auto"/>
              </w:rPr>
            </w:pPr>
          </w:p>
        </w:tc>
        <w:tc>
          <w:tcPr>
            <w:tcW w:w="1100" w:type="dxa"/>
            <w:vAlign w:val="bottom"/>
            <w:tcBorders>
              <w:top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1,352.2</w:t>
            </w: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Bamboo SPV</w:t>
            </w:r>
          </w:p>
        </w:tc>
        <w:tc>
          <w:tcPr>
            <w:tcW w:w="1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260.0</w:t>
            </w: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BroadStreet SPV</w:t>
            </w:r>
          </w:p>
        </w:tc>
        <w:tc>
          <w:tcPr>
            <w:tcW w:w="1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170.1</w:t>
            </w: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PassportCard/DavidShield</w:t>
            </w:r>
          </w:p>
        </w:tc>
        <w:tc>
          <w:tcPr>
            <w:tcW w:w="1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170.0</w:t>
            </w: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Bishop Street</w:t>
            </w:r>
          </w:p>
        </w:tc>
        <w:tc>
          <w:tcPr>
            <w:tcW w:w="1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125.0</w:t>
            </w:r>
          </w:p>
        </w:tc>
      </w:tr>
      <w:tr>
        <w:trPr>
          <w:trHeight w:val="23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unconsolidated entities </w:t>
            </w:r>
            <w:r>
              <w:rPr>
                <w:rFonts w:ascii="Times New Roman" w:cs="Times New Roman" w:eastAsia="Times New Roman" w:hAnsi="Times New Roman"/>
                <w:sz w:val="9"/>
                <w:szCs w:val="9"/>
                <w:color w:val="auto"/>
              </w:rPr>
              <w:t>(1)</w:t>
            </w:r>
          </w:p>
        </w:tc>
        <w:tc>
          <w:tcPr>
            <w:tcW w:w="16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113.5</w:t>
            </w:r>
          </w:p>
        </w:tc>
      </w:tr>
      <w:tr>
        <w:trPr>
          <w:trHeight w:val="214"/>
        </w:trPr>
        <w:tc>
          <w:tcPr>
            <w:tcW w:w="4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unconsolidated entities</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1,352.2</w:t>
            </w:r>
          </w:p>
        </w:tc>
        <w:tc>
          <w:tcPr>
            <w:tcW w:w="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838.6</w:t>
            </w: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2,190.8</w:t>
            </w: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Private equity funds and hedge funds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476.8</w:t>
            </w: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Bank loan fund</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307.8</w:t>
            </w: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Lloyd’s trust deposits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176.4</w:t>
            </w: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ILS funds</w:t>
            </w:r>
          </w:p>
        </w:tc>
        <w:tc>
          <w:tcPr>
            <w:tcW w:w="1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51.0</w:t>
            </w: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Private debt instruments</w:t>
            </w:r>
          </w:p>
        </w:tc>
        <w:tc>
          <w:tcPr>
            <w:tcW w:w="1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r>
      <w:tr>
        <w:trPr>
          <w:trHeight w:val="23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w:t>
            </w:r>
          </w:p>
        </w:tc>
      </w:tr>
      <w:tr>
        <w:trPr>
          <w:trHeight w:val="223"/>
        </w:trPr>
        <w:tc>
          <w:tcPr>
            <w:tcW w:w="40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other long-term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737.7</w:t>
            </w:r>
          </w:p>
        </w:tc>
        <w:tc>
          <w:tcPr>
            <w:tcW w:w="10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1,358.8</w:t>
            </w:r>
          </w:p>
        </w:tc>
        <w:tc>
          <w:tcPr>
            <w:tcW w:w="8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1,157.0</w:t>
            </w:r>
          </w:p>
        </w:tc>
        <w:tc>
          <w:tcPr>
            <w:tcW w:w="8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3,253.5</w:t>
            </w:r>
          </w:p>
        </w:tc>
      </w:tr>
      <w:tr>
        <w:trPr>
          <w:trHeight w:val="21"/>
        </w:trPr>
        <w:tc>
          <w:tcPr>
            <w:tcW w:w="3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140" w:hanging="132"/>
        <w:spacing w:after="0"/>
        <w:tabs>
          <w:tab w:leader="none" w:pos="140"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White Mountains’s noncontrolling equity interests in certain preferred securities, common shares, limited partnership units and limited liability company units.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2540" w:type="dxa"/>
            <w:vAlign w:val="bottom"/>
            <w:tcBorders>
              <w:top w:val="single" w:sz="8" w:color="auto"/>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color w:val="auto"/>
              </w:rPr>
              <w:t>Fair Value as of December 31, 2025</w:t>
            </w:r>
          </w:p>
        </w:tc>
        <w:tc>
          <w:tcPr>
            <w:tcW w:w="5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r>
      <w:tr>
        <w:trPr>
          <w:trHeight w:val="19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Millions</w:t>
            </w:r>
          </w:p>
        </w:tc>
        <w:tc>
          <w:tcPr>
            <w:tcW w:w="200" w:type="dxa"/>
            <w:vAlign w:val="bottom"/>
          </w:tcPr>
          <w:p>
            <w:pPr>
              <w:spacing w:after="0"/>
              <w:rPr>
                <w:sz w:val="17"/>
                <w:szCs w:val="17"/>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Ark/ WM Outrigger</w:t>
            </w:r>
          </w:p>
        </w:tc>
        <w:tc>
          <w:tcPr>
            <w:tcW w:w="400" w:type="dxa"/>
            <w:vAlign w:val="bottom"/>
          </w:tcPr>
          <w:p>
            <w:pPr>
              <w:spacing w:after="0"/>
              <w:rPr>
                <w:sz w:val="17"/>
                <w:szCs w:val="17"/>
                <w:color w:val="auto"/>
              </w:rPr>
            </w:pP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Kudu</w:t>
            </w: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631"/>
              <w:spacing w:after="0"/>
              <w:rPr>
                <w:sz w:val="20"/>
                <w:szCs w:val="20"/>
                <w:color w:val="auto"/>
              </w:rPr>
            </w:pPr>
            <w:r>
              <w:rPr>
                <w:rFonts w:ascii="Times New Roman" w:cs="Times New Roman" w:eastAsia="Times New Roman" w:hAnsi="Times New Roman"/>
                <w:sz w:val="14"/>
                <w:szCs w:val="14"/>
                <w:color w:val="auto"/>
              </w:rPr>
              <w:t>Total</w:t>
            </w:r>
          </w:p>
        </w:tc>
      </w:tr>
      <w:tr>
        <w:trPr>
          <w:trHeight w:val="225"/>
        </w:trPr>
        <w:tc>
          <w:tcPr>
            <w:tcW w:w="3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Kudu’s Participation Contracts</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1,285.0</w:t>
            </w:r>
          </w:p>
        </w:tc>
      </w:tr>
      <w:tr>
        <w:trPr>
          <w:trHeight w:val="229"/>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Bamboo SPV</w:t>
            </w:r>
          </w:p>
        </w:tc>
        <w:tc>
          <w:tcPr>
            <w:tcW w:w="2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30"/>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BroadStreet SPV</w:t>
            </w:r>
          </w:p>
        </w:tc>
        <w:tc>
          <w:tcPr>
            <w:tcW w:w="2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30"/>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PassportCard/DavidShield</w:t>
            </w:r>
          </w:p>
        </w:tc>
        <w:tc>
          <w:tcPr>
            <w:tcW w:w="2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34"/>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unconsolidated entities </w:t>
            </w:r>
            <w:r>
              <w:rPr>
                <w:rFonts w:ascii="Times New Roman" w:cs="Times New Roman" w:eastAsia="Times New Roman" w:hAnsi="Times New Roman"/>
                <w:sz w:val="9"/>
                <w:szCs w:val="9"/>
                <w:color w:val="auto"/>
              </w:rPr>
              <w:t>(1)</w:t>
            </w:r>
          </w:p>
        </w:tc>
        <w:tc>
          <w:tcPr>
            <w:tcW w:w="20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18"/>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unconsolidated entities</w:t>
            </w: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1,973.7</w:t>
            </w:r>
          </w:p>
        </w:tc>
      </w:tr>
      <w:tr>
        <w:trPr>
          <w:trHeight w:val="230"/>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Private equity funds and hedge funds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r>
      <w:tr>
        <w:trPr>
          <w:trHeight w:val="229"/>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Bank loan fund</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r>
      <w:tr>
        <w:trPr>
          <w:trHeight w:val="230"/>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Lloyd’s trust deposits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r>
      <w:tr>
        <w:trPr>
          <w:trHeight w:val="230"/>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ILS funds</w:t>
            </w:r>
          </w:p>
        </w:tc>
        <w:tc>
          <w:tcPr>
            <w:tcW w:w="2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30"/>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Private debt instruments</w:t>
            </w:r>
          </w:p>
        </w:tc>
        <w:tc>
          <w:tcPr>
            <w:tcW w:w="2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4"/>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3"/>
        </w:trPr>
        <w:tc>
          <w:tcPr>
            <w:tcW w:w="39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other long-term investments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10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10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977.4</w:t>
            </w:r>
          </w:p>
        </w:tc>
        <w:tc>
          <w:tcPr>
            <w:tcW w:w="8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2,958.5</w:t>
            </w:r>
          </w:p>
        </w:tc>
      </w:tr>
      <w:tr>
        <w:trPr>
          <w:trHeight w:val="21"/>
        </w:trPr>
        <w:tc>
          <w:tcPr>
            <w:tcW w:w="3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140" w:hanging="132"/>
        <w:spacing w:after="0"/>
        <w:tabs>
          <w:tab w:leader="none" w:pos="14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White Mountains’s noncontrolling equity interests in certain preferred securities, common shares, limited partnership units and limited liability company units.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Equity Funds and Hedge Funds</w:t>
      </w:r>
    </w:p>
    <w:p>
      <w:pPr>
        <w:spacing w:after="0" w:line="31"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White Mountains invests in private equity funds and hedge funds, which are included in other long-term investments. The fair value of these investments is generally estimated using the NAV of the funds. As of March 31, 2026, White Mountains held investments in seventeen private equity funds and two hedge funds. The largest investment in a single private equity fund or hedge fund was $162.6 million and $110.6 million as of March 31, 2026 and December 31, 2025.</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investments and unfunded commitments in private equity funds and hedge funds by investment objective and sector as of March 31, 2026 and December 31, 2025:</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4"/>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37"/>
        </w:trPr>
        <w:tc>
          <w:tcPr>
            <w:tcW w:w="5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94"/>
              <w:spacing w:after="0" w:line="137" w:lineRule="exact"/>
              <w:rPr>
                <w:sz w:val="20"/>
                <w:szCs w:val="20"/>
                <w:color w:val="auto"/>
              </w:rPr>
            </w:pPr>
            <w:r>
              <w:rPr>
                <w:rFonts w:ascii="Times New Roman" w:cs="Times New Roman" w:eastAsia="Times New Roman" w:hAnsi="Times New Roman"/>
                <w:sz w:val="14"/>
                <w:szCs w:val="14"/>
                <w:b w:val="1"/>
                <w:bCs w:val="1"/>
                <w:color w:val="auto"/>
              </w:rPr>
              <w:t>Unfunded</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314"/>
              <w:spacing w:after="0" w:line="137" w:lineRule="exact"/>
              <w:rPr>
                <w:sz w:val="20"/>
                <w:szCs w:val="20"/>
                <w:color w:val="auto"/>
              </w:rPr>
            </w:pPr>
            <w:r>
              <w:rPr>
                <w:rFonts w:ascii="Times New Roman" w:cs="Times New Roman" w:eastAsia="Times New Roman" w:hAnsi="Times New Roman"/>
                <w:sz w:val="14"/>
                <w:szCs w:val="14"/>
                <w:b w:val="1"/>
                <w:bCs w:val="1"/>
                <w:color w:val="auto"/>
              </w:rPr>
              <w:t>Unfunded</w:t>
            </w:r>
          </w:p>
        </w:tc>
        <w:tc>
          <w:tcPr>
            <w:tcW w:w="0" w:type="dxa"/>
            <w:vAlign w:val="bottom"/>
          </w:tcPr>
          <w:p>
            <w:pPr>
              <w:spacing w:after="0"/>
              <w:rPr>
                <w:sz w:val="1"/>
                <w:szCs w:val="1"/>
                <w:color w:val="auto"/>
              </w:rPr>
            </w:pPr>
          </w:p>
        </w:tc>
      </w:tr>
      <w:tr>
        <w:trPr>
          <w:trHeight w:val="195"/>
        </w:trPr>
        <w:tc>
          <w:tcPr>
            <w:tcW w:w="5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Private equity funds</w:t>
            </w:r>
          </w:p>
        </w:tc>
        <w:tc>
          <w:tcPr>
            <w:tcW w:w="100" w:type="dxa"/>
            <w:vAlign w:val="bottom"/>
          </w:tcPr>
          <w:p>
            <w:pPr>
              <w:spacing w:after="0"/>
              <w:rPr>
                <w:sz w:val="19"/>
                <w:szCs w:val="19"/>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138.1</w:t>
            </w:r>
          </w:p>
        </w:tc>
        <w:tc>
          <w:tcPr>
            <w:tcW w:w="120" w:type="dxa"/>
            <w:vAlign w:val="bottom"/>
          </w:tcPr>
          <w:p>
            <w:pPr>
              <w:spacing w:after="0"/>
              <w:rPr>
                <w:sz w:val="19"/>
                <w:szCs w:val="19"/>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38.0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Aerospace/Defense/Government</w:t>
            </w:r>
          </w:p>
        </w:tc>
        <w:tc>
          <w:tcPr>
            <w:tcW w:w="26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services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38"/>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4"/>
        </w:trPr>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private equity funds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34"/>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Hedge funds</w:t>
            </w:r>
          </w:p>
        </w:tc>
        <w:tc>
          <w:tcPr>
            <w:tcW w:w="260" w:type="dxa"/>
            <w:vAlign w:val="bottom"/>
          </w:tcPr>
          <w:p>
            <w:pPr>
              <w:spacing w:after="0"/>
              <w:rPr>
                <w:sz w:val="20"/>
                <w:szCs w:val="2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Long/short all cap global</w:t>
            </w:r>
          </w:p>
        </w:tc>
        <w:tc>
          <w:tcPr>
            <w:tcW w:w="2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Long/short equity financials and business services</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hedge funds</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1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Total private equity funds and hedge funds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476.8</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61.0</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1"/>
        </w:trPr>
        <w:tc>
          <w:tcPr>
            <w:tcW w:w="5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Investments in private equity funds are generally subject to a lock-up period during which investors may not request a redemption. Distributions prior to the expected termination date of the fund may be limited to dividends or proceeds arising from the liquidation of the fund’s underlying investments. In addition, certain private equity funds have the option to extend the lock-up period.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investments in private equity funds that were subject to lock-up periods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68580</wp:posOffset>
            </wp:positionV>
            <wp:extent cx="51263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131" w:lineRule="exact"/>
        <w:rPr>
          <w:sz w:val="20"/>
          <w:szCs w:val="20"/>
          <w:color w:val="auto"/>
        </w:rPr>
      </w:pPr>
    </w:p>
    <w:tbl>
      <w:tblPr>
        <w:tblLayout w:type="fixed"/>
        <w:tblInd w:w="1580" w:type="dxa"/>
        <w:tblCellMar>
          <w:top w:w="0" w:type="dxa"/>
          <w:left w:w="0" w:type="dxa"/>
          <w:bottom w:w="0" w:type="dxa"/>
          <w:right w:w="0" w:type="dxa"/>
        </w:tblCellMar>
      </w:tblPr>
      <w:tr>
        <w:trPr>
          <w:trHeight w:val="19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5 – 10 years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9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Private equity funds — expected lock-up period</w:t>
            </w:r>
          </w:p>
        </w:tc>
        <w:tc>
          <w:tcPr>
            <w:tcW w:w="140" w:type="dxa"/>
            <w:vAlign w:val="bottom"/>
          </w:tcPr>
          <w:p>
            <w:pPr>
              <w:spacing w:after="0"/>
              <w:rPr>
                <w:sz w:val="14"/>
                <w:szCs w:val="14"/>
                <w:color w:val="auto"/>
              </w:rPr>
            </w:pPr>
          </w:p>
        </w:tc>
        <w:tc>
          <w:tcPr>
            <w:tcW w:w="880" w:type="dxa"/>
            <w:vAlign w:val="bottom"/>
            <w:vMerge w:val="restart"/>
          </w:tcPr>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$54.7</w:t>
            </w:r>
          </w:p>
        </w:tc>
        <w:tc>
          <w:tcPr>
            <w:tcW w:w="140" w:type="dxa"/>
            <w:vAlign w:val="bottom"/>
          </w:tcPr>
          <w:p>
            <w:pPr>
              <w:spacing w:after="0"/>
              <w:rPr>
                <w:sz w:val="14"/>
                <w:szCs w:val="14"/>
                <w:color w:val="auto"/>
              </w:rPr>
            </w:pPr>
          </w:p>
        </w:tc>
        <w:tc>
          <w:tcPr>
            <w:tcW w:w="880" w:type="dxa"/>
            <w:vAlign w:val="bottom"/>
            <w:vMerge w:val="restart"/>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$7.8</w:t>
            </w:r>
          </w:p>
        </w:tc>
        <w:tc>
          <w:tcPr>
            <w:tcW w:w="120" w:type="dxa"/>
            <w:vAlign w:val="bottom"/>
          </w:tcPr>
          <w:p>
            <w:pPr>
              <w:spacing w:after="0"/>
              <w:rPr>
                <w:sz w:val="14"/>
                <w:szCs w:val="14"/>
                <w:color w:val="auto"/>
              </w:rPr>
            </w:pPr>
          </w:p>
        </w:tc>
        <w:tc>
          <w:tcPr>
            <w:tcW w:w="960" w:type="dxa"/>
            <w:vAlign w:val="bottom"/>
            <w:vMerge w:val="restart"/>
          </w:tcPr>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$186.6</w:t>
            </w:r>
          </w:p>
        </w:tc>
        <w:tc>
          <w:tcPr>
            <w:tcW w:w="120" w:type="dxa"/>
            <w:vAlign w:val="bottom"/>
          </w:tcPr>
          <w:p>
            <w:pPr>
              <w:spacing w:after="0"/>
              <w:rPr>
                <w:sz w:val="14"/>
                <w:szCs w:val="14"/>
                <w:color w:val="auto"/>
              </w:rPr>
            </w:pPr>
          </w:p>
        </w:tc>
        <w:tc>
          <w:tcPr>
            <w:tcW w:w="900" w:type="dxa"/>
            <w:vAlign w:val="bottom"/>
            <w:vMerge w:val="restart"/>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rPr>
              <w:t>$249.1</w:t>
            </w:r>
          </w:p>
        </w:tc>
        <w:tc>
          <w:tcPr>
            <w:tcW w:w="0" w:type="dxa"/>
            <w:vAlign w:val="bottom"/>
          </w:tcPr>
          <w:p>
            <w:pPr>
              <w:spacing w:after="0"/>
              <w:rPr>
                <w:sz w:val="1"/>
                <w:szCs w:val="1"/>
                <w:color w:val="auto"/>
              </w:rPr>
            </w:pPr>
          </w:p>
        </w:tc>
      </w:tr>
      <w:tr>
        <w:trPr>
          <w:trHeight w:val="243"/>
        </w:trPr>
        <w:tc>
          <w:tcPr>
            <w:tcW w:w="4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remaining</w:t>
            </w:r>
          </w:p>
        </w:tc>
        <w:tc>
          <w:tcPr>
            <w:tcW w:w="88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Investors in private equity funds are generally subject to indemnification obligations outside of the capital commitment period and prior to the winding up of the fund. As of March 31, 2026 and December 31, 2025, White Mountains is not aware of any indemnification claims relating to its investments in private equity funds.</w:t>
      </w:r>
    </w:p>
    <w:p>
      <w:pPr>
        <w:spacing w:after="0" w:line="3" w:lineRule="exact"/>
        <w:rPr>
          <w:sz w:val="20"/>
          <w:szCs w:val="20"/>
          <w:color w:val="auto"/>
        </w:rPr>
      </w:pPr>
    </w:p>
    <w:p>
      <w:pPr>
        <w:ind w:right="360"/>
        <w:spacing w:after="0" w:line="237" w:lineRule="auto"/>
        <w:rPr>
          <w:sz w:val="20"/>
          <w:szCs w:val="20"/>
          <w:color w:val="auto"/>
        </w:rPr>
      </w:pPr>
      <w:r>
        <w:rPr>
          <w:rFonts w:ascii="Times New Roman" w:cs="Times New Roman" w:eastAsia="Times New Roman" w:hAnsi="Times New Roman"/>
          <w:sz w:val="18"/>
          <w:szCs w:val="18"/>
          <w:color w:val="auto"/>
        </w:rPr>
        <w:t>Redemption of investments in most hedge funds is subject to restrictions, including lock-up periods where no redemptions or withdrawals are allowed, restrictions on redemption frequency and advance notice periods for redemptions. Amounts requested for redemptions remain subject to market fluctuations until the redemption effective date, which generally falls at the end of the defined redemption period. White Mountains’s hedge fund investments are subject to monthly and quarterly restrictions on redemptions and advance written redemption notice period requirements that range between 45 and 90 calendar days.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 Loan Fund</w:t>
      </w:r>
    </w:p>
    <w:p>
      <w:pPr>
        <w:spacing w:after="0" w:line="3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White Mountains’s other long-term investments include a bank loan fund with a fair value of $307.8 million and $308.5 million as of March 31, 2026 and December 31, 2025. The fair value of this investment is estimated using the NAV of the fund. The bank loan fund’s investment objective is to provide, on an unleveraged basis, high current income consistent with preservation of capital and low duration. The bank loan fund primarily invests in a broad portfolio of U.S. dollar-denominated, non-investment grade, floating-rate senior secured loans and may invest in other financial instruments, such as secured and unsecured corporate debt, credit default swaps, reverse repurchase agreements, synthetic indices and cash and cash equivalents.</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investment in the bank loan fund is subject to restrictions on redemption frequency and advance notice periods for redemptions. Amounts requested for redemptions remain subject to market fluctuations until the redemption effective date, which generally falls at the end of the defined redemption period. White Mountains may redeem all or a portion of its bank loan fund investment as of any calendar month-end upon 15 calendar days advanced written notice.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Lloyd’s Trust Deposits</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White Mountains’s other long-term investments include Lloyd’s trust deposits, which consist of non-U.K. deposits and Canadian commingled pooled funds. The Lloyd’s trust deposits invest primarily in short-term government securities, agency securities and corporate bonds held in trusts that are managed by Lloyd's of London. These investments are generally required of Lloyd's syndicates to protect policyholders in non-U.K. markets and are pledged into Lloyd’s trust accounts to provide a portion of the capital needed to support obligations at Lloyd’s. The fair value of the Lloyd’s trust deposits is generally estimated using the NAV of the funds. As of March 31, 2026 and December 31, 2025, White Mountains held Lloyd’s trust deposits with a fair value of $176.4 million and $180.4 million.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ILS Funds</w:t>
      </w:r>
    </w:p>
    <w:p>
      <w:pPr>
        <w:spacing w:after="0" w:line="3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White Mountains’s other long-term investments include ILS fund investments. The fair value of these investments is generally estimated using the NAV of the funds. As of March 31, 2026 and December 31, 2025, White Mountains held investments in ILS funds with a fair value of $51.0 million and $50.1 million.</w:t>
      </w:r>
    </w:p>
    <w:p>
      <w:pPr>
        <w:spacing w:after="0" w:line="1"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Investments in ILS funds are generally subject to restrictions, including lock-up periods where no redemptions or withdrawals are allowed, non-renewal clauses, restrictions on redemption frequency and advance notice periods for redemptions. From time to time, natural catastrophe, liquidity, market or other events will occur that make the determination of fair value for underlying investments in ILS funds less certain due to the potential for loss development. In such circumstances, the impacted investments may be subject to additional lock-up provisions.</w:t>
      </w:r>
    </w:p>
    <w:p>
      <w:pPr>
        <w:spacing w:after="0" w:line="2" w:lineRule="exact"/>
        <w:rPr>
          <w:sz w:val="20"/>
          <w:szCs w:val="20"/>
          <w:color w:val="auto"/>
        </w:rPr>
      </w:pPr>
    </w:p>
    <w:p>
      <w:pPr>
        <w:ind w:right="260" w:firstLine="405"/>
        <w:spacing w:after="0" w:line="255" w:lineRule="auto"/>
        <w:rPr>
          <w:sz w:val="20"/>
          <w:szCs w:val="20"/>
          <w:color w:val="auto"/>
        </w:rPr>
      </w:pPr>
      <w:r>
        <w:rPr>
          <w:rFonts w:ascii="Times New Roman" w:cs="Times New Roman" w:eastAsia="Times New Roman" w:hAnsi="Times New Roman"/>
          <w:sz w:val="18"/>
          <w:szCs w:val="18"/>
          <w:color w:val="auto"/>
        </w:rPr>
        <w:t>ILS funds are typically subject to monthly and annual restrictions on redemptions and advance redemption notice period requirements that range between 30 and 90 calendar days. Amounts requested for redemption remain subject to market fluctuations until the redemption effective date, which is generally at the end of the defined redemption period or when the underlying investment has fully matured or been commuted.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Infrastructure Fund</w:t>
      </w:r>
    </w:p>
    <w:p>
      <w:pPr>
        <w:spacing w:after="0" w:line="3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2025, Ark made a $100.0 million commitment to invest in an open-ended, pooled investment fund focused on making equity investments in essential service infrastructure assets. The fund has a 4-year lock-up period, subject to the discretion of the manager. Redemptions of all or a portion of the fund are allowable semi-annually with a 90-day written notice. Ark anticipates that the initial capital call will occur in the second half of 2026.</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Rollforward of Level 3 Investments</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Level 3 measurements as of March 31, 2026 and 2025 consist of securities for which the estimated fair value has not been determined based upon quoted market price inputs for identical or similar securities. The following table presents the changes in White Mountains’s fair value measurements for Level 3 investments 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97790</wp:posOffset>
            </wp:positionV>
            <wp:extent cx="53663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3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33655</wp:posOffset>
            </wp:positionV>
            <wp:extent cx="53663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Other long-term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33655</wp:posOffset>
            </wp:positionV>
            <wp:extent cx="53663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159" w:lineRule="exact"/>
        <w:rPr>
          <w:sz w:val="20"/>
          <w:szCs w:val="20"/>
          <w:color w:val="auto"/>
        </w:rPr>
      </w:pPr>
    </w:p>
    <w:tbl>
      <w:tblPr>
        <w:tblLayout w:type="fixed"/>
        <w:tblInd w:w="1400" w:type="dxa"/>
        <w:tblCellMar>
          <w:top w:w="0" w:type="dxa"/>
          <w:left w:w="0" w:type="dxa"/>
          <w:bottom w:w="0" w:type="dxa"/>
          <w:right w:w="0" w:type="dxa"/>
        </w:tblCellMar>
      </w:tblPr>
      <w:tr>
        <w:trPr>
          <w:trHeight w:val="238"/>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Pr>
          <w:p>
            <w:pPr>
              <w:spacing w:after="0"/>
              <w:rPr>
                <w:sz w:val="20"/>
                <w:szCs w:val="20"/>
                <w:color w:val="auto"/>
              </w:rPr>
            </w:pPr>
          </w:p>
        </w:tc>
        <w:tc>
          <w:tcPr>
            <w:tcW w:w="20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40" w:type="dxa"/>
            <w:vAlign w:val="bottom"/>
          </w:tcPr>
          <w:p>
            <w:pPr>
              <w:spacing w:after="0"/>
              <w:rPr>
                <w:sz w:val="20"/>
                <w:szCs w:val="20"/>
                <w:color w:val="auto"/>
              </w:rPr>
            </w:pPr>
          </w:p>
        </w:tc>
        <w:tc>
          <w:tcPr>
            <w:tcW w:w="19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14"/>
        </w:trPr>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1,814.4</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1,262.7</w:t>
            </w:r>
          </w:p>
        </w:tc>
      </w:tr>
      <w:tr>
        <w:trPr>
          <w:trHeight w:val="230"/>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realized and unrealized gains</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30"/>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and contributions</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30"/>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distributions</w:t>
            </w:r>
          </w:p>
        </w:tc>
        <w:tc>
          <w:tcPr>
            <w:tcW w:w="320" w:type="dxa"/>
            <w:vAlign w:val="bottom"/>
          </w:tcPr>
          <w:p>
            <w:pPr>
              <w:spacing w:after="0"/>
              <w:rPr>
                <w:sz w:val="19"/>
                <w:szCs w:val="19"/>
                <w:color w:val="auto"/>
              </w:rPr>
            </w:pP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Transfers in</w:t>
            </w:r>
          </w:p>
        </w:tc>
        <w:tc>
          <w:tcPr>
            <w:tcW w:w="320" w:type="dxa"/>
            <w:vAlign w:val="bottom"/>
          </w:tcPr>
          <w:p>
            <w:pPr>
              <w:spacing w:after="0"/>
              <w:rPr>
                <w:sz w:val="19"/>
                <w:szCs w:val="19"/>
                <w:color w:val="auto"/>
              </w:rPr>
            </w:pP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Transfers out</w:t>
            </w:r>
          </w:p>
        </w:tc>
        <w:tc>
          <w:tcPr>
            <w:tcW w:w="320" w:type="dxa"/>
            <w:vAlign w:val="bottom"/>
          </w:tcPr>
          <w:p>
            <w:pPr>
              <w:spacing w:after="0"/>
              <w:rPr>
                <w:sz w:val="20"/>
                <w:szCs w:val="20"/>
                <w:color w:val="auto"/>
              </w:rPr>
            </w:pP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2,016.5</w:t>
            </w:r>
          </w:p>
        </w:tc>
        <w:tc>
          <w:tcPr>
            <w:tcW w:w="10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1,375.9</w:t>
            </w: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Significant Unobservable Inputs</w:t>
      </w:r>
    </w:p>
    <w:p>
      <w:pPr>
        <w:spacing w:after="0" w:line="24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 xml:space="preserve">The following tables present significant unobservable inputs used in estimating the fair value of White Mountains’s other long-term investments, classified within Level 3 as of March 31, 2026 and December 31, 2025. The tables below exclude $125.4 million and $250.4 million of Level 3 other long-term investments generally valued based on recent or expected transaction prices. As of December 31, 2025, the Bamboo SPV was measured at fair value based on the value implied in the Bamboo Sale Transaction. See </w:t>
      </w:r>
      <w:r>
        <w:rPr>
          <w:rFonts w:ascii="Times New Roman" w:cs="Times New Roman" w:eastAsia="Times New Roman" w:hAnsi="Times New Roman"/>
          <w:sz w:val="18"/>
          <w:szCs w:val="18"/>
          <w:b w:val="1"/>
          <w:bCs w:val="1"/>
          <w:color w:val="auto"/>
        </w:rPr>
        <w:t>Note 2 — “Significant Transactions.”</w:t>
      </w:r>
      <w:r>
        <w:rPr>
          <w:rFonts w:ascii="Times New Roman" w:cs="Times New Roman" w:eastAsia="Times New Roman" w:hAnsi="Times New Roman"/>
          <w:sz w:val="18"/>
          <w:szCs w:val="18"/>
          <w:color w:val="auto"/>
        </w:rPr>
        <w:t xml:space="preserve"> The fair value of investments in the BroadStreet SPV, private equity funds and hedge funds, bank loan funds, Lloyd’s trust deposits and ILS funds are generally estimated using NAV. Investments for which fair value is measured at NAV are not classified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68580</wp:posOffset>
            </wp:positionV>
            <wp:extent cx="58375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104" w:lineRule="exact"/>
        <w:rPr>
          <w:sz w:val="20"/>
          <w:szCs w:val="20"/>
          <w:color w:val="auto"/>
        </w:rPr>
      </w:pPr>
    </w:p>
    <w:tbl>
      <w:tblPr>
        <w:tblLayout w:type="fixed"/>
        <w:tblInd w:w="1040" w:type="dxa"/>
        <w:tblCellMar>
          <w:top w:w="0" w:type="dxa"/>
          <w:left w:w="0" w:type="dxa"/>
          <w:bottom w:w="0" w:type="dxa"/>
          <w:right w:w="0" w:type="dxa"/>
        </w:tblCellMar>
      </w:tblPr>
      <w:tr>
        <w:trPr>
          <w:trHeight w:val="190"/>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60" w:type="dxa"/>
            <w:vAlign w:val="bottom"/>
            <w:gridSpan w:val="2"/>
            <w:vMerge w:val="continue"/>
          </w:tcPr>
          <w:p>
            <w:pPr>
              <w:spacing w:after="0"/>
              <w:rPr>
                <w:sz w:val="17"/>
                <w:szCs w:val="17"/>
                <w:color w:val="auto"/>
              </w:rPr>
            </w:pPr>
          </w:p>
        </w:tc>
        <w:tc>
          <w:tcPr>
            <w:tcW w:w="186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4"/>
                <w:szCs w:val="14"/>
                <w:b w:val="1"/>
                <w:bCs w:val="1"/>
                <w:color w:val="auto"/>
                <w:w w:val="98"/>
              </w:rPr>
              <w:t xml:space="preserve">Valuation Technique(s) </w:t>
            </w:r>
            <w:r>
              <w:rPr>
                <w:rFonts w:ascii="Times New Roman" w:cs="Times New Roman" w:eastAsia="Times New Roman" w:hAnsi="Times New Roman"/>
                <w:sz w:val="18"/>
                <w:szCs w:val="18"/>
                <w:b w:val="1"/>
                <w:bCs w:val="1"/>
                <w:color w:val="auto"/>
                <w:w w:val="98"/>
                <w:vertAlign w:val="superscript"/>
              </w:rPr>
              <w:t>(1)</w:t>
            </w:r>
          </w:p>
        </w:tc>
        <w:tc>
          <w:tcPr>
            <w:tcW w:w="11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(2)</w:t>
            </w:r>
          </w:p>
        </w:tc>
        <w:tc>
          <w:tcPr>
            <w:tcW w:w="1060" w:type="dxa"/>
            <w:vAlign w:val="bottom"/>
          </w:tcPr>
          <w:p>
            <w:pPr>
              <w:spacing w:after="0"/>
              <w:rPr>
                <w:sz w:val="17"/>
                <w:szCs w:val="17"/>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58"/>
        </w:trPr>
        <w:tc>
          <w:tcPr>
            <w:tcW w:w="2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Terminal Cash Flow Exit</w:t>
            </w: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Discount Rate </w:t>
            </w:r>
            <w:r>
              <w:rPr>
                <w:rFonts w:ascii="Times New Roman" w:cs="Times New Roman" w:eastAsia="Times New Roman" w:hAnsi="Times New Roman"/>
                <w:sz w:val="18"/>
                <w:szCs w:val="18"/>
                <w:b w:val="1"/>
                <w:bCs w:val="1"/>
                <w:color w:val="auto"/>
                <w:vertAlign w:val="superscript"/>
              </w:rPr>
              <w:t>(5)</w:t>
            </w:r>
          </w:p>
        </w:tc>
        <w:tc>
          <w:tcPr>
            <w:tcW w:w="1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Multiple (x) or Terminal</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3"/>
            <w:vMerge w:val="continue"/>
          </w:tcPr>
          <w:p>
            <w:pPr>
              <w:spacing w:after="0"/>
              <w:rPr>
                <w:sz w:val="17"/>
                <w:szCs w:val="17"/>
                <w:color w:val="auto"/>
              </w:rPr>
            </w:pPr>
          </w:p>
        </w:tc>
        <w:tc>
          <w:tcPr>
            <w:tcW w:w="18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Revenue Growth Rate (%) </w:t>
            </w:r>
            <w:r>
              <w:rPr>
                <w:rFonts w:ascii="Times New Roman" w:cs="Times New Roman" w:eastAsia="Times New Roman" w:hAnsi="Times New Roman"/>
                <w:sz w:val="18"/>
                <w:szCs w:val="18"/>
                <w:b w:val="1"/>
                <w:bCs w:val="1"/>
                <w:color w:val="auto"/>
                <w:vertAlign w:val="superscript"/>
              </w:rPr>
              <w:t>(5)</w:t>
            </w:r>
          </w:p>
        </w:tc>
        <w:tc>
          <w:tcPr>
            <w:tcW w:w="0" w:type="dxa"/>
            <w:vAlign w:val="bottom"/>
          </w:tcPr>
          <w:p>
            <w:pPr>
              <w:spacing w:after="0"/>
              <w:rPr>
                <w:sz w:val="1"/>
                <w:szCs w:val="1"/>
                <w:color w:val="auto"/>
              </w:rPr>
            </w:pPr>
          </w:p>
        </w:tc>
      </w:tr>
      <w:tr>
        <w:trPr>
          <w:trHeight w:val="255"/>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Kudu’s Participation Contracts </w:t>
            </w:r>
            <w:r>
              <w:rPr>
                <w:rFonts w:ascii="Times New Roman" w:cs="Times New Roman" w:eastAsia="Times New Roman" w:hAnsi="Times New Roman"/>
                <w:sz w:val="18"/>
                <w:szCs w:val="18"/>
                <w:color w:val="auto"/>
                <w:vertAlign w:val="superscript"/>
              </w:rPr>
              <w:t>(3) (4)</w:t>
            </w: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Discounted cash flow</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$1,352.2</w:t>
            </w:r>
          </w:p>
        </w:tc>
        <w:tc>
          <w:tcPr>
            <w:tcW w:w="120" w:type="dxa"/>
            <w:vAlign w:val="bottom"/>
          </w:tcPr>
          <w:p>
            <w:pPr>
              <w:spacing w:after="0"/>
              <w:rPr>
                <w:sz w:val="22"/>
                <w:szCs w:val="22"/>
                <w:color w:val="auto"/>
              </w:rPr>
            </w:pPr>
          </w:p>
        </w:tc>
        <w:tc>
          <w:tcPr>
            <w:tcW w:w="1060" w:type="dxa"/>
            <w:vAlign w:val="bottom"/>
            <w:tcBorders>
              <w:top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16% - 24%</w:t>
            </w:r>
          </w:p>
        </w:tc>
        <w:tc>
          <w:tcPr>
            <w:tcW w:w="3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7x - 22x</w:t>
            </w:r>
          </w:p>
        </w:tc>
        <w:tc>
          <w:tcPr>
            <w:tcW w:w="0" w:type="dxa"/>
            <w:vAlign w:val="bottom"/>
          </w:tcPr>
          <w:p>
            <w:pPr>
              <w:spacing w:after="0"/>
              <w:rPr>
                <w:sz w:val="1"/>
                <w:szCs w:val="1"/>
                <w:color w:val="auto"/>
              </w:rPr>
            </w:pPr>
          </w:p>
        </w:tc>
      </w:tr>
      <w:tr>
        <w:trPr>
          <w:trHeight w:val="24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Bamboo SPV</w:t>
            </w: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Discounted cash flow</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$260.0</w:t>
            </w:r>
          </w:p>
        </w:tc>
        <w:tc>
          <w:tcPr>
            <w:tcW w:w="120" w:type="dxa"/>
            <w:vAlign w:val="bottom"/>
          </w:tcPr>
          <w:p>
            <w:pPr>
              <w:spacing w:after="0"/>
              <w:rPr>
                <w:sz w:val="21"/>
                <w:szCs w:val="21"/>
                <w:color w:val="auto"/>
              </w:rPr>
            </w:pPr>
          </w:p>
        </w:tc>
        <w:tc>
          <w:tcPr>
            <w:tcW w:w="106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9"/>
              </w:rPr>
              <w:t>16%</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0" w:type="dxa"/>
            <w:vAlign w:val="bottom"/>
          </w:tcPr>
          <w:p>
            <w:pPr>
              <w:spacing w:after="0"/>
              <w:rPr>
                <w:sz w:val="1"/>
                <w:szCs w:val="1"/>
                <w:color w:val="auto"/>
              </w:rPr>
            </w:pPr>
          </w:p>
        </w:tc>
      </w:tr>
      <w:tr>
        <w:trPr>
          <w:trHeight w:val="270"/>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PassportCard/DavidShield</w:t>
            </w: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Discounted cash flow</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$170.0</w:t>
            </w:r>
          </w:p>
        </w:tc>
        <w:tc>
          <w:tcPr>
            <w:tcW w:w="120" w:type="dxa"/>
            <w:vAlign w:val="bottom"/>
          </w:tcPr>
          <w:p>
            <w:pPr>
              <w:spacing w:after="0"/>
              <w:rPr>
                <w:sz w:val="23"/>
                <w:szCs w:val="23"/>
                <w:color w:val="auto"/>
              </w:rPr>
            </w:pPr>
          </w:p>
        </w:tc>
        <w:tc>
          <w:tcPr>
            <w:tcW w:w="106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9"/>
              </w:rPr>
              <w:t>24%</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0" w:type="dxa"/>
            <w:vAlign w:val="bottom"/>
          </w:tcPr>
          <w:p>
            <w:pPr>
              <w:spacing w:after="0"/>
              <w:rPr>
                <w:sz w:val="1"/>
                <w:szCs w:val="1"/>
                <w:color w:val="auto"/>
              </w:rPr>
            </w:pPr>
          </w:p>
        </w:tc>
      </w:tr>
      <w:tr>
        <w:trPr>
          <w:trHeight w:val="270"/>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Private common shares and units</w:t>
            </w: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Discounted cash flow</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$56.9</w:t>
            </w:r>
          </w:p>
        </w:tc>
        <w:tc>
          <w:tcPr>
            <w:tcW w:w="120" w:type="dxa"/>
            <w:vAlign w:val="bottom"/>
          </w:tcPr>
          <w:p>
            <w:pPr>
              <w:spacing w:after="0"/>
              <w:rPr>
                <w:sz w:val="23"/>
                <w:szCs w:val="23"/>
                <w:color w:val="auto"/>
              </w:rPr>
            </w:pPr>
          </w:p>
        </w:tc>
        <w:tc>
          <w:tcPr>
            <w:tcW w:w="106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22% - 35%</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 - 4%</w:t>
            </w:r>
          </w:p>
        </w:tc>
        <w:tc>
          <w:tcPr>
            <w:tcW w:w="0" w:type="dxa"/>
            <w:vAlign w:val="bottom"/>
          </w:tcPr>
          <w:p>
            <w:pPr>
              <w:spacing w:after="0"/>
              <w:rPr>
                <w:sz w:val="1"/>
                <w:szCs w:val="1"/>
                <w:color w:val="auto"/>
              </w:rPr>
            </w:pPr>
          </w:p>
        </w:tc>
      </w:tr>
      <w:tr>
        <w:trPr>
          <w:trHeight w:val="270"/>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Private preferred securities</w:t>
            </w: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Discounted cash flow</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$35.6</w:t>
            </w:r>
          </w:p>
        </w:tc>
        <w:tc>
          <w:tcPr>
            <w:tcW w:w="120" w:type="dxa"/>
            <w:vAlign w:val="bottom"/>
          </w:tcPr>
          <w:p>
            <w:pPr>
              <w:spacing w:after="0"/>
              <w:rPr>
                <w:sz w:val="23"/>
                <w:szCs w:val="23"/>
                <w:color w:val="auto"/>
              </w:rPr>
            </w:pPr>
          </w:p>
        </w:tc>
        <w:tc>
          <w:tcPr>
            <w:tcW w:w="106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9"/>
              </w:rPr>
              <w:t>15%</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w:t>
            </w:r>
          </w:p>
        </w:tc>
        <w:tc>
          <w:tcPr>
            <w:tcW w:w="0" w:type="dxa"/>
            <w:vAlign w:val="bottom"/>
          </w:tcPr>
          <w:p>
            <w:pPr>
              <w:spacing w:after="0"/>
              <w:rPr>
                <w:sz w:val="1"/>
                <w:szCs w:val="1"/>
                <w:color w:val="auto"/>
              </w:rPr>
            </w:pPr>
          </w:p>
        </w:tc>
      </w:tr>
      <w:tr>
        <w:trPr>
          <w:trHeight w:val="270"/>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Private debt instruments</w:t>
            </w: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Discounted cash flow</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$16.4</w:t>
            </w:r>
          </w:p>
        </w:tc>
        <w:tc>
          <w:tcPr>
            <w:tcW w:w="120" w:type="dxa"/>
            <w:vAlign w:val="bottom"/>
          </w:tcPr>
          <w:p>
            <w:pPr>
              <w:spacing w:after="0"/>
              <w:rPr>
                <w:sz w:val="23"/>
                <w:szCs w:val="23"/>
                <w:color w:val="auto"/>
              </w:rPr>
            </w:pPr>
          </w:p>
        </w:tc>
        <w:tc>
          <w:tcPr>
            <w:tcW w:w="106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11% - 12%</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60" w:hanging="152"/>
        <w:spacing w:after="0"/>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Key inputs to the discounted cash flow analysis generally include projections of future revenue and earnings, discount rates and terminal exit multiples or growth rates.</w:t>
      </w:r>
    </w:p>
    <w:p>
      <w:pPr>
        <w:spacing w:after="0" w:line="3" w:lineRule="exact"/>
        <w:rPr>
          <w:rFonts w:ascii="Times New Roman" w:cs="Times New Roman" w:eastAsia="Times New Roman" w:hAnsi="Times New Roman"/>
          <w:sz w:val="19"/>
          <w:szCs w:val="19"/>
          <w:color w:val="auto"/>
          <w:vertAlign w:val="superscript"/>
        </w:rPr>
      </w:pPr>
    </w:p>
    <w:p>
      <w:pPr>
        <w:ind w:left="160" w:hanging="152"/>
        <w:spacing w:after="0" w:line="187" w:lineRule="auto"/>
        <w:tabs>
          <w:tab w:leader="none" w:pos="16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the net unrealized investment gains (losses) associated with foreign currency; foreign currency effects based on observable inputs.</w:t>
      </w:r>
    </w:p>
    <w:p>
      <w:pPr>
        <w:ind w:left="180" w:right="40" w:hanging="172"/>
        <w:spacing w:after="0" w:line="259" w:lineRule="auto"/>
        <w:tabs>
          <w:tab w:leader="none" w:pos="163"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Since Kudu’s Participation Contracts are not subject to corporate taxes within Kudu Investment Management, LLC, pre-tax discount rates are applied to pre-tax cash flows in determining fair values. The weighted average discount rate and weighted average terminal cash flow exit multiple applied to Kudu’s Participation Contracts was 19% and 14x.</w:t>
      </w:r>
    </w:p>
    <w:p>
      <w:pPr>
        <w:ind w:left="160" w:hanging="152"/>
        <w:spacing w:after="0" w:line="181" w:lineRule="auto"/>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the first three months of 2026, Kudu contributed $25.4 into new and existing Participation Contracts.</w:t>
      </w:r>
    </w:p>
    <w:p>
      <w:pPr>
        <w:ind w:left="180" w:right="120" w:hanging="172"/>
        <w:spacing w:after="0" w:line="211" w:lineRule="auto"/>
        <w:tabs>
          <w:tab w:leader="none" w:pos="163"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Increases (decreases) to the discount rates in isolation would result in lower (higher) fair value measurements, while increases (decreases) to the terminal cash flow exit multiples or terminal revenue growth rates in isolation would result in higher (lower)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229870</wp:posOffset>
            </wp:positionV>
            <wp:extent cx="58375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357" w:lineRule="exact"/>
        <w:rPr>
          <w:sz w:val="20"/>
          <w:szCs w:val="20"/>
          <w:color w:val="auto"/>
        </w:rPr>
      </w:pPr>
    </w:p>
    <w:tbl>
      <w:tblPr>
        <w:tblLayout w:type="fixed"/>
        <w:tblInd w:w="1040" w:type="dxa"/>
        <w:tblCellMar>
          <w:top w:w="0" w:type="dxa"/>
          <w:left w:w="0" w:type="dxa"/>
          <w:bottom w:w="0" w:type="dxa"/>
          <w:right w:w="0" w:type="dxa"/>
        </w:tblCellMar>
      </w:tblPr>
      <w:tr>
        <w:trPr>
          <w:trHeight w:val="190"/>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60" w:type="dxa"/>
            <w:vAlign w:val="bottom"/>
            <w:gridSpan w:val="2"/>
            <w:vMerge w:val="continue"/>
          </w:tcPr>
          <w:p>
            <w:pPr>
              <w:spacing w:after="0"/>
              <w:rPr>
                <w:sz w:val="17"/>
                <w:szCs w:val="17"/>
                <w:color w:val="auto"/>
              </w:rPr>
            </w:pPr>
          </w:p>
        </w:tc>
        <w:tc>
          <w:tcPr>
            <w:tcW w:w="186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4"/>
                <w:szCs w:val="14"/>
                <w:b w:val="1"/>
                <w:bCs w:val="1"/>
                <w:color w:val="auto"/>
                <w:w w:val="98"/>
              </w:rPr>
              <w:t xml:space="preserve">Valuation Technique(s) </w:t>
            </w:r>
            <w:r>
              <w:rPr>
                <w:rFonts w:ascii="Times New Roman" w:cs="Times New Roman" w:eastAsia="Times New Roman" w:hAnsi="Times New Roman"/>
                <w:sz w:val="18"/>
                <w:szCs w:val="18"/>
                <w:b w:val="1"/>
                <w:bCs w:val="1"/>
                <w:color w:val="auto"/>
                <w:w w:val="98"/>
                <w:vertAlign w:val="superscript"/>
              </w:rPr>
              <w:t>(1)</w:t>
            </w:r>
          </w:p>
        </w:tc>
        <w:tc>
          <w:tcPr>
            <w:tcW w:w="11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(2)</w:t>
            </w:r>
          </w:p>
        </w:tc>
        <w:tc>
          <w:tcPr>
            <w:tcW w:w="1040" w:type="dxa"/>
            <w:vAlign w:val="bottom"/>
          </w:tcPr>
          <w:p>
            <w:pPr>
              <w:spacing w:after="0"/>
              <w:rPr>
                <w:sz w:val="17"/>
                <w:szCs w:val="17"/>
                <w:color w:val="auto"/>
              </w:rPr>
            </w:pPr>
          </w:p>
        </w:tc>
        <w:tc>
          <w:tcPr>
            <w:tcW w:w="2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55"/>
        </w:trPr>
        <w:tc>
          <w:tcPr>
            <w:tcW w:w="2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Terminal Cash Flow Exit</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Discount Rate </w:t>
            </w:r>
            <w:r>
              <w:rPr>
                <w:rFonts w:ascii="Times New Roman" w:cs="Times New Roman" w:eastAsia="Times New Roman" w:hAnsi="Times New Roman"/>
                <w:sz w:val="18"/>
                <w:szCs w:val="18"/>
                <w:b w:val="1"/>
                <w:bCs w:val="1"/>
                <w:color w:val="auto"/>
                <w:vertAlign w:val="superscript"/>
              </w:rPr>
              <w:t>(5)</w:t>
            </w:r>
          </w:p>
        </w:tc>
        <w:tc>
          <w:tcPr>
            <w:tcW w:w="1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Multiple (x) or Terminal</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Revenue Growth Rate (%) </w:t>
            </w:r>
            <w:r>
              <w:rPr>
                <w:rFonts w:ascii="Times New Roman" w:cs="Times New Roman" w:eastAsia="Times New Roman" w:hAnsi="Times New Roman"/>
                <w:sz w:val="18"/>
                <w:szCs w:val="18"/>
                <w:b w:val="1"/>
                <w:bCs w:val="1"/>
                <w:color w:val="auto"/>
                <w:vertAlign w:val="superscript"/>
              </w:rPr>
              <w:t>(5)</w:t>
            </w:r>
          </w:p>
        </w:tc>
        <w:tc>
          <w:tcPr>
            <w:tcW w:w="0" w:type="dxa"/>
            <w:vAlign w:val="bottom"/>
          </w:tcPr>
          <w:p>
            <w:pPr>
              <w:spacing w:after="0"/>
              <w:rPr>
                <w:sz w:val="1"/>
                <w:szCs w:val="1"/>
                <w:color w:val="auto"/>
              </w:rPr>
            </w:pPr>
          </w:p>
        </w:tc>
      </w:tr>
      <w:tr>
        <w:trPr>
          <w:trHeight w:val="282"/>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Kudu’s Participation Contracts </w:t>
            </w:r>
            <w:r>
              <w:rPr>
                <w:rFonts w:ascii="Times New Roman" w:cs="Times New Roman" w:eastAsia="Times New Roman" w:hAnsi="Times New Roman"/>
                <w:sz w:val="18"/>
                <w:szCs w:val="18"/>
                <w:color w:val="auto"/>
                <w:vertAlign w:val="superscript"/>
              </w:rPr>
              <w:t>(3) (4)</w:t>
            </w: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Discounted cash flow</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$1,285.0</w:t>
            </w:r>
          </w:p>
        </w:tc>
        <w:tc>
          <w:tcPr>
            <w:tcW w:w="120" w:type="dxa"/>
            <w:vAlign w:val="bottom"/>
          </w:tcPr>
          <w:p>
            <w:pPr>
              <w:spacing w:after="0"/>
              <w:rPr>
                <w:sz w:val="24"/>
                <w:szCs w:val="24"/>
                <w:color w:val="auto"/>
              </w:rPr>
            </w:pPr>
          </w:p>
        </w:tc>
        <w:tc>
          <w:tcPr>
            <w:tcW w:w="1040" w:type="dxa"/>
            <w:vAlign w:val="bottom"/>
            <w:tcBorders>
              <w:top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color w:val="auto"/>
              </w:rPr>
              <w:t>16% - 25%</w:t>
            </w:r>
          </w:p>
        </w:tc>
        <w:tc>
          <w:tcPr>
            <w:tcW w:w="3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7x - 22x</w:t>
            </w:r>
          </w:p>
        </w:tc>
        <w:tc>
          <w:tcPr>
            <w:tcW w:w="0" w:type="dxa"/>
            <w:vAlign w:val="bottom"/>
          </w:tcPr>
          <w:p>
            <w:pPr>
              <w:spacing w:after="0"/>
              <w:rPr>
                <w:sz w:val="1"/>
                <w:szCs w:val="1"/>
                <w:color w:val="auto"/>
              </w:rPr>
            </w:pPr>
          </w:p>
        </w:tc>
      </w:tr>
      <w:tr>
        <w:trPr>
          <w:trHeight w:val="215"/>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PassportCard/DavidShield</w:t>
            </w: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Discounted cash flow</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$170.0</w:t>
            </w:r>
          </w:p>
        </w:tc>
        <w:tc>
          <w:tcPr>
            <w:tcW w:w="120" w:type="dxa"/>
            <w:vAlign w:val="bottom"/>
          </w:tcPr>
          <w:p>
            <w:pPr>
              <w:spacing w:after="0"/>
              <w:rPr>
                <w:sz w:val="18"/>
                <w:szCs w:val="18"/>
                <w:color w:val="auto"/>
              </w:rPr>
            </w:pPr>
          </w:p>
        </w:tc>
        <w:tc>
          <w:tcPr>
            <w:tcW w:w="10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24%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w:t>
            </w:r>
          </w:p>
        </w:tc>
        <w:tc>
          <w:tcPr>
            <w:tcW w:w="0" w:type="dxa"/>
            <w:vAlign w:val="bottom"/>
          </w:tcPr>
          <w:p>
            <w:pPr>
              <w:spacing w:after="0"/>
              <w:rPr>
                <w:sz w:val="1"/>
                <w:szCs w:val="1"/>
                <w:color w:val="auto"/>
              </w:rPr>
            </w:pPr>
          </w:p>
        </w:tc>
      </w:tr>
      <w:tr>
        <w:trPr>
          <w:trHeight w:val="270"/>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Private common shares and units</w:t>
            </w: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Discounted cash flow</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$56.9</w:t>
            </w:r>
          </w:p>
        </w:tc>
        <w:tc>
          <w:tcPr>
            <w:tcW w:w="120" w:type="dxa"/>
            <w:vAlign w:val="bottom"/>
          </w:tcPr>
          <w:p>
            <w:pPr>
              <w:spacing w:after="0"/>
              <w:rPr>
                <w:sz w:val="23"/>
                <w:szCs w:val="23"/>
                <w:color w:val="auto"/>
              </w:rPr>
            </w:pPr>
          </w:p>
        </w:tc>
        <w:tc>
          <w:tcPr>
            <w:tcW w:w="10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22% - 35%</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 - 4%</w:t>
            </w:r>
          </w:p>
        </w:tc>
        <w:tc>
          <w:tcPr>
            <w:tcW w:w="0" w:type="dxa"/>
            <w:vAlign w:val="bottom"/>
          </w:tcPr>
          <w:p>
            <w:pPr>
              <w:spacing w:after="0"/>
              <w:rPr>
                <w:sz w:val="1"/>
                <w:szCs w:val="1"/>
                <w:color w:val="auto"/>
              </w:rPr>
            </w:pPr>
          </w:p>
        </w:tc>
      </w:tr>
      <w:tr>
        <w:trPr>
          <w:trHeight w:val="270"/>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Private preferred securities</w:t>
            </w: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Discounted cash flow</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$35.6</w:t>
            </w:r>
          </w:p>
        </w:tc>
        <w:tc>
          <w:tcPr>
            <w:tcW w:w="120" w:type="dxa"/>
            <w:vAlign w:val="bottom"/>
          </w:tcPr>
          <w:p>
            <w:pPr>
              <w:spacing w:after="0"/>
              <w:rPr>
                <w:sz w:val="23"/>
                <w:szCs w:val="23"/>
                <w:color w:val="auto"/>
              </w:rPr>
            </w:pPr>
          </w:p>
        </w:tc>
        <w:tc>
          <w:tcPr>
            <w:tcW w:w="10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8%</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70"/>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Private debt instruments</w:t>
            </w: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Discounted cash flow</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tcPr>
          <w:p>
            <w:pPr>
              <w:spacing w:after="0"/>
              <w:rPr>
                <w:sz w:val="23"/>
                <w:szCs w:val="23"/>
                <w:color w:val="auto"/>
              </w:rPr>
            </w:pPr>
          </w:p>
        </w:tc>
        <w:tc>
          <w:tcPr>
            <w:tcW w:w="10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11% - 12%</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60" w:hanging="152"/>
        <w:spacing w:after="0"/>
        <w:tabs>
          <w:tab w:leader="none" w:pos="1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Key inputs to the discounted cash flow analysis generally include projections of future revenue and earnings, discount rates and terminal exit multiples or growth rates.</w:t>
      </w:r>
    </w:p>
    <w:p>
      <w:pPr>
        <w:spacing w:after="0" w:line="3" w:lineRule="exact"/>
        <w:rPr>
          <w:rFonts w:ascii="Times New Roman" w:cs="Times New Roman" w:eastAsia="Times New Roman" w:hAnsi="Times New Roman"/>
          <w:sz w:val="19"/>
          <w:szCs w:val="19"/>
          <w:color w:val="auto"/>
          <w:vertAlign w:val="superscript"/>
        </w:rPr>
      </w:pPr>
    </w:p>
    <w:p>
      <w:pPr>
        <w:ind w:left="160" w:hanging="152"/>
        <w:spacing w:after="0" w:line="189" w:lineRule="auto"/>
        <w:tabs>
          <w:tab w:leader="none" w:pos="1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the net unrealized investment gains (losses) associated with foreign currency; foreign currency effects based on observable inputs.</w:t>
      </w:r>
    </w:p>
    <w:p>
      <w:pPr>
        <w:spacing w:after="0" w:line="3" w:lineRule="exact"/>
        <w:rPr>
          <w:rFonts w:ascii="Times New Roman" w:cs="Times New Roman" w:eastAsia="Times New Roman" w:hAnsi="Times New Roman"/>
          <w:sz w:val="19"/>
          <w:szCs w:val="19"/>
          <w:color w:val="auto"/>
          <w:vertAlign w:val="superscript"/>
        </w:rPr>
      </w:pPr>
    </w:p>
    <w:p>
      <w:pPr>
        <w:ind w:left="180" w:right="40" w:hanging="172"/>
        <w:spacing w:after="0" w:line="213" w:lineRule="auto"/>
        <w:tabs>
          <w:tab w:leader="none" w:pos="163"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Since Kudu’s Participation Contracts are not subject to corporate taxes within Kudu Investment Management, LLC, pre-tax discount rates are applied to pre-tax cash flows in determining fair values. The weighted average discount rate and weighted average terminal cash flow exit multiple applied to Kudu’s Participation Contracts was 19% and 14x.</w:t>
      </w:r>
    </w:p>
    <w:p>
      <w:pPr>
        <w:ind w:left="140" w:hanging="132"/>
        <w:spacing w:after="0"/>
        <w:tabs>
          <w:tab w:leader="none" w:pos="14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2025, Kudu contributed $201.7 into new and existing Participation Contracts.</w:t>
      </w:r>
    </w:p>
    <w:p>
      <w:pPr>
        <w:spacing w:after="0" w:line="11" w:lineRule="exact"/>
        <w:rPr>
          <w:rFonts w:ascii="Times New Roman" w:cs="Times New Roman" w:eastAsia="Times New Roman" w:hAnsi="Times New Roman"/>
          <w:sz w:val="9"/>
          <w:szCs w:val="9"/>
          <w:color w:val="auto"/>
        </w:rPr>
      </w:pPr>
    </w:p>
    <w:p>
      <w:pPr>
        <w:ind w:left="180" w:right="120" w:hanging="172"/>
        <w:spacing w:after="0" w:line="213" w:lineRule="auto"/>
        <w:tabs>
          <w:tab w:leader="none" w:pos="163"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Increases (decreases) to the discount rates in isolation would result in lower (higher) fair value measurements, while increases (decreases) to the terminal cash flow exit multiples or terminal revenue growth rates in isolation would result in higher (lower) fair value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Goodwill and Other Intangible Assets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White Mountains accounts for business combinations using the acquisition method. Under the acquisition method, White Mountains recognizes and measures the assets acquired, including other intangible assets, and liabilities assumed, including contingent consideration liabilities, at their estimated fair values as of the acquisition date. Goodwill represents the excess of the amount paid to acquire a business over the fair value of identifiable net assets at the acquisition date. The estimated acquisition date fair values, generally consisting of intangible assets and contingent consideration liabilities, may be recorded at provisional amounts in circumstances where the information necessary to complete the acquisition accounting is not available at the reporting date. Any such provisional amounts are finalized as measurement period adjustments within one year of the acquisition date.</w:t>
      </w:r>
    </w:p>
    <w:p>
      <w:pPr>
        <w:spacing w:after="0" w:line="5"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8"/>
          <w:szCs w:val="18"/>
          <w:color w:val="auto"/>
        </w:rPr>
        <w:t>The following tables present the economic life, acquisition date fair value, accumulated amortization and net carrying value for goodwill and other intangible assets as of March 31, 2026 and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6985</wp:posOffset>
            </wp:positionV>
            <wp:extent cx="64808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60" w:lineRule="exact"/>
        <w:rPr>
          <w:sz w:val="20"/>
          <w:szCs w:val="20"/>
          <w:color w:val="auto"/>
        </w:rPr>
      </w:pPr>
    </w:p>
    <w:tbl>
      <w:tblPr>
        <w:tblLayout w:type="fixed"/>
        <w:tblInd w:w="56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62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Economic Life</w:t>
            </w:r>
          </w:p>
        </w:tc>
        <w:tc>
          <w:tcPr>
            <w:tcW w:w="120" w:type="dxa"/>
            <w:vAlign w:val="bottom"/>
          </w:tcPr>
          <w:p>
            <w:pPr>
              <w:spacing w:after="0"/>
              <w:rPr>
                <w:sz w:val="12"/>
                <w:szCs w:val="12"/>
                <w:color w:val="auto"/>
              </w:rPr>
            </w:pPr>
          </w:p>
        </w:tc>
        <w:tc>
          <w:tcPr>
            <w:tcW w:w="12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Acquisition Date</w:t>
            </w:r>
          </w:p>
        </w:tc>
        <w:tc>
          <w:tcPr>
            <w:tcW w:w="180" w:type="dxa"/>
            <w:vAlign w:val="bottom"/>
          </w:tcPr>
          <w:p>
            <w:pPr>
              <w:spacing w:after="0"/>
              <w:rPr>
                <w:sz w:val="12"/>
                <w:szCs w:val="12"/>
                <w:color w:val="auto"/>
              </w:rPr>
            </w:pPr>
          </w:p>
        </w:tc>
        <w:tc>
          <w:tcPr>
            <w:tcW w:w="12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Impairments </w:t>
            </w:r>
            <w:r>
              <w:rPr>
                <w:rFonts w:ascii="Times New Roman" w:cs="Times New Roman" w:eastAsia="Times New Roman" w:hAnsi="Times New Roman"/>
                <w:sz w:val="18"/>
                <w:szCs w:val="18"/>
                <w:b w:val="1"/>
                <w:bCs w:val="1"/>
                <w:color w:val="auto"/>
                <w:vertAlign w:val="superscript"/>
              </w:rPr>
              <w:t>(1)</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0" w:type="dxa"/>
            <w:vAlign w:val="bottom"/>
          </w:tcPr>
          <w:p>
            <w:pPr>
              <w:spacing w:after="0"/>
              <w:rPr>
                <w:sz w:val="1"/>
                <w:szCs w:val="1"/>
                <w:color w:val="auto"/>
              </w:rPr>
            </w:pPr>
          </w:p>
        </w:tc>
      </w:tr>
      <w:tr>
        <w:trPr>
          <w:trHeight w:val="203"/>
        </w:trPr>
        <w:tc>
          <w:tcPr>
            <w:tcW w:w="3060" w:type="dxa"/>
            <w:vAlign w:val="bottom"/>
            <w:gridSpan w:val="2"/>
            <w:vMerge w:val="continue"/>
          </w:tcPr>
          <w:p>
            <w:pPr>
              <w:spacing w:after="0"/>
              <w:rPr>
                <w:sz w:val="17"/>
                <w:szCs w:val="17"/>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Ark</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116.8</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116.8</w:t>
            </w:r>
          </w:p>
        </w:tc>
        <w:tc>
          <w:tcPr>
            <w:tcW w:w="0" w:type="dxa"/>
            <w:vAlign w:val="bottom"/>
          </w:tcPr>
          <w:p>
            <w:pPr>
              <w:spacing w:after="0"/>
              <w:rPr>
                <w:sz w:val="1"/>
                <w:szCs w:val="1"/>
                <w:color w:val="auto"/>
              </w:rPr>
            </w:pPr>
          </w:p>
        </w:tc>
      </w:tr>
      <w:tr>
        <w:trPr>
          <w:trHeight w:val="216"/>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Kudu</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N/A</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0" w:type="dxa"/>
            <w:vAlign w:val="bottom"/>
          </w:tcPr>
          <w:p>
            <w:pPr>
              <w:spacing w:after="0"/>
              <w:rPr>
                <w:sz w:val="1"/>
                <w:szCs w:val="1"/>
                <w:color w:val="auto"/>
              </w:rPr>
            </w:pPr>
          </w:p>
        </w:tc>
      </w:tr>
      <w:tr>
        <w:trPr>
          <w:trHeight w:val="220"/>
        </w:trPr>
        <w:tc>
          <w:tcPr>
            <w:tcW w:w="306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Distinguished </w:t>
            </w:r>
            <w:r>
              <w:rPr>
                <w:rFonts w:ascii="Times New Roman" w:cs="Times New Roman" w:eastAsia="Times New Roman" w:hAnsi="Times New Roman"/>
                <w:sz w:val="21"/>
                <w:szCs w:val="21"/>
                <w:color w:val="auto"/>
                <w:vertAlign w:val="superscript"/>
              </w:rPr>
              <w:t>(2)</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N/A</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397.9</w:t>
            </w:r>
          </w:p>
        </w:tc>
        <w:tc>
          <w:tcPr>
            <w:tcW w:w="0" w:type="dxa"/>
            <w:vAlign w:val="bottom"/>
          </w:tcPr>
          <w:p>
            <w:pPr>
              <w:spacing w:after="0"/>
              <w:rPr>
                <w:sz w:val="1"/>
                <w:szCs w:val="1"/>
                <w:color w:val="auto"/>
              </w:rPr>
            </w:pPr>
          </w:p>
        </w:tc>
      </w:tr>
      <w:tr>
        <w:trPr>
          <w:trHeight w:val="212"/>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Operations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N/A</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93.0</w:t>
            </w:r>
          </w:p>
        </w:tc>
        <w:tc>
          <w:tcPr>
            <w:tcW w:w="0" w:type="dxa"/>
            <w:vAlign w:val="bottom"/>
          </w:tcPr>
          <w:p>
            <w:pPr>
              <w:spacing w:after="0"/>
              <w:rPr>
                <w:sz w:val="1"/>
                <w:szCs w:val="1"/>
                <w:color w:val="auto"/>
              </w:rPr>
            </w:pPr>
          </w:p>
        </w:tc>
      </w:tr>
      <w:tr>
        <w:trPr>
          <w:trHeight w:val="212"/>
        </w:trPr>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goodwill</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624.4</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615.3</w:t>
            </w:r>
          </w:p>
        </w:tc>
        <w:tc>
          <w:tcPr>
            <w:tcW w:w="0" w:type="dxa"/>
            <w:vAlign w:val="bottom"/>
          </w:tcPr>
          <w:p>
            <w:pPr>
              <w:spacing w:after="0"/>
              <w:rPr>
                <w:sz w:val="1"/>
                <w:szCs w:val="1"/>
                <w:color w:val="auto"/>
              </w:rPr>
            </w:pPr>
          </w:p>
        </w:tc>
      </w:tr>
      <w:tr>
        <w:trPr>
          <w:trHeight w:val="214"/>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intangible assets: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Ark</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Underwriting capacity</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N/A</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175.7</w:t>
            </w:r>
          </w:p>
        </w:tc>
        <w:tc>
          <w:tcPr>
            <w:tcW w:w="0" w:type="dxa"/>
            <w:vAlign w:val="bottom"/>
          </w:tcPr>
          <w:p>
            <w:pPr>
              <w:spacing w:after="0"/>
              <w:rPr>
                <w:sz w:val="1"/>
                <w:szCs w:val="1"/>
                <w:color w:val="auto"/>
              </w:rPr>
            </w:pPr>
          </w:p>
        </w:tc>
      </w:tr>
      <w:tr>
        <w:trPr>
          <w:trHeight w:val="216"/>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Kudu</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0"/>
        </w:trPr>
        <w:tc>
          <w:tcPr>
            <w:tcW w:w="306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6"/>
                <w:szCs w:val="16"/>
                <w:b w:val="1"/>
                <w:bCs w:val="1"/>
                <w:i w:val="1"/>
                <w:iCs w:val="1"/>
                <w:color w:val="auto"/>
              </w:rPr>
              <w:t xml:space="preserve">Distinguished </w:t>
            </w:r>
            <w:r>
              <w:rPr>
                <w:rFonts w:ascii="Times New Roman" w:cs="Times New Roman" w:eastAsia="Times New Roman" w:hAnsi="Times New Roman"/>
                <w:sz w:val="21"/>
                <w:szCs w:val="21"/>
                <w:b w:val="1"/>
                <w:bCs w:val="1"/>
                <w:i w:val="1"/>
                <w:iCs w:val="1"/>
                <w:color w:val="auto"/>
                <w:vertAlign w:val="superscript"/>
              </w:rPr>
              <w:t>(2)</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Trade names</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22.9</w:t>
            </w:r>
          </w:p>
        </w:tc>
        <w:tc>
          <w:tcPr>
            <w:tcW w:w="0" w:type="dxa"/>
            <w:vAlign w:val="bottom"/>
          </w:tcPr>
          <w:p>
            <w:pPr>
              <w:spacing w:after="0"/>
              <w:rPr>
                <w:sz w:val="1"/>
                <w:szCs w:val="1"/>
                <w:color w:val="auto"/>
              </w:rPr>
            </w:pPr>
          </w:p>
        </w:tc>
      </w:tr>
      <w:tr>
        <w:trPr>
          <w:trHeight w:val="216"/>
        </w:trPr>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Agency relationships</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118.4</w:t>
            </w:r>
          </w:p>
        </w:tc>
        <w:tc>
          <w:tcPr>
            <w:tcW w:w="0" w:type="dxa"/>
            <w:vAlign w:val="bottom"/>
          </w:tcPr>
          <w:p>
            <w:pPr>
              <w:spacing w:after="0"/>
              <w:rPr>
                <w:sz w:val="1"/>
                <w:szCs w:val="1"/>
                <w:color w:val="auto"/>
              </w:rPr>
            </w:pPr>
          </w:p>
        </w:tc>
      </w:tr>
      <w:tr>
        <w:trPr>
          <w:trHeight w:val="216"/>
        </w:trPr>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Developed technology</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32.3</w:t>
            </w:r>
          </w:p>
        </w:tc>
        <w:tc>
          <w:tcPr>
            <w:tcW w:w="0" w:type="dxa"/>
            <w:vAlign w:val="bottom"/>
          </w:tcPr>
          <w:p>
            <w:pPr>
              <w:spacing w:after="0"/>
              <w:rPr>
                <w:sz w:val="1"/>
                <w:szCs w:val="1"/>
                <w:color w:val="auto"/>
              </w:rPr>
            </w:pPr>
          </w:p>
        </w:tc>
      </w:tr>
      <w:tr>
        <w:trPr>
          <w:trHeight w:val="211"/>
        </w:trPr>
        <w:tc>
          <w:tcPr>
            <w:tcW w:w="30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Subtotal</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188.8</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173.6</w:t>
            </w:r>
          </w:p>
        </w:tc>
        <w:tc>
          <w:tcPr>
            <w:tcW w:w="0" w:type="dxa"/>
            <w:vAlign w:val="bottom"/>
          </w:tcPr>
          <w:p>
            <w:pPr>
              <w:spacing w:after="0"/>
              <w:rPr>
                <w:sz w:val="1"/>
                <w:szCs w:val="1"/>
                <w:color w:val="auto"/>
              </w:rPr>
            </w:pPr>
          </w:p>
        </w:tc>
      </w:tr>
      <w:tr>
        <w:trPr>
          <w:trHeight w:val="214"/>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Other Operations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Trade names</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14.1</w:t>
            </w:r>
          </w:p>
        </w:tc>
        <w:tc>
          <w:tcPr>
            <w:tcW w:w="0" w:type="dxa"/>
            <w:vAlign w:val="bottom"/>
          </w:tcPr>
          <w:p>
            <w:pPr>
              <w:spacing w:after="0"/>
              <w:rPr>
                <w:sz w:val="1"/>
                <w:szCs w:val="1"/>
                <w:color w:val="auto"/>
              </w:rPr>
            </w:pPr>
          </w:p>
        </w:tc>
      </w:tr>
      <w:tr>
        <w:trPr>
          <w:trHeight w:val="216"/>
        </w:trPr>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31.9</w:t>
            </w:r>
          </w:p>
        </w:tc>
        <w:tc>
          <w:tcPr>
            <w:tcW w:w="0" w:type="dxa"/>
            <w:vAlign w:val="bottom"/>
          </w:tcPr>
          <w:p>
            <w:pPr>
              <w:spacing w:after="0"/>
              <w:rPr>
                <w:sz w:val="1"/>
                <w:szCs w:val="1"/>
                <w:color w:val="auto"/>
              </w:rPr>
            </w:pPr>
          </w:p>
        </w:tc>
      </w:tr>
      <w:tr>
        <w:trPr>
          <w:trHeight w:val="216"/>
        </w:trPr>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0" w:type="dxa"/>
            <w:vAlign w:val="bottom"/>
          </w:tcPr>
          <w:p>
            <w:pPr>
              <w:spacing w:after="0"/>
              <w:rPr>
                <w:sz w:val="1"/>
                <w:szCs w:val="1"/>
                <w:color w:val="auto"/>
              </w:rPr>
            </w:pPr>
          </w:p>
        </w:tc>
      </w:tr>
      <w:tr>
        <w:trPr>
          <w:trHeight w:val="212"/>
        </w:trPr>
        <w:tc>
          <w:tcPr>
            <w:tcW w:w="3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Subtotal</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78.8</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47.1</w:t>
            </w:r>
          </w:p>
        </w:tc>
        <w:tc>
          <w:tcPr>
            <w:tcW w:w="0" w:type="dxa"/>
            <w:vAlign w:val="bottom"/>
          </w:tcPr>
          <w:p>
            <w:pPr>
              <w:spacing w:after="0"/>
              <w:rPr>
                <w:sz w:val="1"/>
                <w:szCs w:val="1"/>
                <w:color w:val="auto"/>
              </w:rPr>
            </w:pPr>
          </w:p>
        </w:tc>
      </w:tr>
      <w:tr>
        <w:trPr>
          <w:trHeight w:val="210"/>
        </w:trPr>
        <w:tc>
          <w:tcPr>
            <w:tcW w:w="30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other intangible assets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445.5</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396.4</w:t>
            </w:r>
          </w:p>
        </w:tc>
        <w:tc>
          <w:tcPr>
            <w:tcW w:w="0" w:type="dxa"/>
            <w:vAlign w:val="bottom"/>
          </w:tcPr>
          <w:p>
            <w:pPr>
              <w:spacing w:after="0"/>
              <w:rPr>
                <w:sz w:val="1"/>
                <w:szCs w:val="1"/>
                <w:color w:val="auto"/>
              </w:rPr>
            </w:pPr>
          </w:p>
        </w:tc>
      </w:tr>
      <w:tr>
        <w:trPr>
          <w:trHeight w:val="211"/>
        </w:trPr>
        <w:tc>
          <w:tcPr>
            <w:tcW w:w="30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color w:val="auto"/>
              </w:rPr>
              <w:t>Total goodwill and other intangible assets</w:t>
            </w:r>
          </w:p>
        </w:tc>
        <w:tc>
          <w:tcPr>
            <w:tcW w:w="1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1,069.9</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9.6</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1,011.7</w:t>
            </w:r>
          </w:p>
        </w:tc>
        <w:tc>
          <w:tcPr>
            <w:tcW w:w="0" w:type="dxa"/>
            <w:vAlign w:val="bottom"/>
          </w:tcPr>
          <w:p>
            <w:pPr>
              <w:spacing w:after="0"/>
              <w:rPr>
                <w:sz w:val="1"/>
                <w:szCs w:val="1"/>
                <w:color w:val="auto"/>
              </w:rPr>
            </w:pPr>
          </w:p>
        </w:tc>
      </w:tr>
      <w:tr>
        <w:trPr>
          <w:trHeight w:val="22"/>
        </w:trPr>
        <w:tc>
          <w:tcPr>
            <w:tcW w:w="2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540" w:hanging="127"/>
        <w:spacing w:after="0"/>
        <w:tabs>
          <w:tab w:leader="none" w:pos="54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Impairment is related to an Other Operating Business.</w:t>
      </w:r>
    </w:p>
    <w:p>
      <w:pPr>
        <w:ind w:left="540" w:hanging="127"/>
        <w:spacing w:after="0"/>
        <w:tabs>
          <w:tab w:leader="none" w:pos="54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The relative fair values of goodwill and other intangible assets recognized in connection with the Distinguished Transaction had not yet been finalized. See </w:t>
      </w:r>
      <w:r>
        <w:rPr>
          <w:rFonts w:ascii="Times New Roman" w:cs="Times New Roman" w:eastAsia="Times New Roman" w:hAnsi="Times New Roman"/>
          <w:sz w:val="14"/>
          <w:szCs w:val="14"/>
          <w:b w:val="1"/>
          <w:bCs w:val="1"/>
          <w:color w:val="auto"/>
        </w:rPr>
        <w:t>Note 2 — “Significant</w:t>
      </w: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8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4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Economic Life</w:t>
            </w:r>
          </w:p>
        </w:tc>
        <w:tc>
          <w:tcPr>
            <w:tcW w:w="120" w:type="dxa"/>
            <w:vAlign w:val="bottom"/>
          </w:tcPr>
          <w:p>
            <w:pPr>
              <w:spacing w:after="0"/>
              <w:rPr>
                <w:sz w:val="12"/>
                <w:szCs w:val="12"/>
                <w:color w:val="auto"/>
              </w:rPr>
            </w:pPr>
          </w:p>
        </w:tc>
        <w:tc>
          <w:tcPr>
            <w:tcW w:w="13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Acquisition Date</w:t>
            </w:r>
          </w:p>
        </w:tc>
        <w:tc>
          <w:tcPr>
            <w:tcW w:w="180" w:type="dxa"/>
            <w:vAlign w:val="bottom"/>
          </w:tcPr>
          <w:p>
            <w:pPr>
              <w:spacing w:after="0"/>
              <w:rPr>
                <w:sz w:val="12"/>
                <w:szCs w:val="12"/>
                <w:color w:val="auto"/>
              </w:rPr>
            </w:pPr>
          </w:p>
        </w:tc>
        <w:tc>
          <w:tcPr>
            <w:tcW w:w="12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18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 xml:space="preserve">Impairments </w:t>
            </w:r>
            <w:r>
              <w:rPr>
                <w:rFonts w:ascii="Times New Roman" w:cs="Times New Roman" w:eastAsia="Times New Roman" w:hAnsi="Times New Roman"/>
                <w:sz w:val="18"/>
                <w:szCs w:val="18"/>
                <w:b w:val="1"/>
                <w:bCs w:val="1"/>
                <w:color w:val="auto"/>
                <w:vertAlign w:val="superscript"/>
              </w:rPr>
              <w:t>(1)</w:t>
            </w:r>
          </w:p>
        </w:tc>
        <w:tc>
          <w:tcPr>
            <w:tcW w:w="100" w:type="dxa"/>
            <w:vAlign w:val="bottom"/>
            <w:vMerge w:val="restart"/>
          </w:tcPr>
          <w:p>
            <w:pPr>
              <w:spacing w:after="0"/>
              <w:rPr>
                <w:sz w:val="12"/>
                <w:szCs w:val="12"/>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0" w:type="dxa"/>
            <w:vAlign w:val="bottom"/>
          </w:tcPr>
          <w:p>
            <w:pPr>
              <w:spacing w:after="0"/>
              <w:rPr>
                <w:sz w:val="1"/>
                <w:szCs w:val="1"/>
                <w:color w:val="auto"/>
              </w:rPr>
            </w:pPr>
          </w:p>
        </w:tc>
      </w:tr>
      <w:tr>
        <w:trPr>
          <w:trHeight w:val="203"/>
        </w:trPr>
        <w:tc>
          <w:tcPr>
            <w:tcW w:w="2940" w:type="dxa"/>
            <w:vAlign w:val="bottom"/>
            <w:tcBorders>
              <w:bottom w:val="single" w:sz="8" w:color="auto"/>
            </w:tcBorders>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3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Ark</w:t>
            </w:r>
          </w:p>
        </w:tc>
        <w:tc>
          <w:tcPr>
            <w:tcW w:w="146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30"/>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Kudu</w:t>
            </w: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328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Distinguished </w:t>
            </w:r>
            <w:r>
              <w:rPr>
                <w:rFonts w:ascii="Times New Roman" w:cs="Times New Roman" w:eastAsia="Times New Roman" w:hAnsi="Times New Roman"/>
                <w:sz w:val="23"/>
                <w:szCs w:val="23"/>
                <w:color w:val="auto"/>
                <w:vertAlign w:val="superscript"/>
              </w:rPr>
              <w:t>(2)</w:t>
            </w: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0" w:type="dxa"/>
            <w:vAlign w:val="bottom"/>
          </w:tcPr>
          <w:p>
            <w:pPr>
              <w:spacing w:after="0"/>
              <w:rPr>
                <w:sz w:val="1"/>
                <w:szCs w:val="1"/>
                <w:color w:val="auto"/>
              </w:rPr>
            </w:pPr>
          </w:p>
        </w:tc>
      </w:tr>
      <w:tr>
        <w:trPr>
          <w:trHeight w:val="238"/>
        </w:trPr>
        <w:tc>
          <w:tcPr>
            <w:tcW w:w="3280" w:type="dxa"/>
            <w:vAlign w:val="bottom"/>
            <w:gridSpan w:val="3"/>
          </w:tcPr>
          <w:p>
            <w:pPr>
              <w:spacing w:after="0" w:line="239" w:lineRule="exact"/>
              <w:rPr>
                <w:sz w:val="20"/>
                <w:szCs w:val="20"/>
                <w:color w:val="auto"/>
              </w:rPr>
            </w:pPr>
            <w:r>
              <w:rPr>
                <w:rFonts w:ascii="Times New Roman" w:cs="Times New Roman" w:eastAsia="Times New Roman" w:hAnsi="Times New Roman"/>
                <w:sz w:val="18"/>
                <w:szCs w:val="18"/>
                <w:color w:val="auto"/>
              </w:rPr>
              <w:t xml:space="preserve">Other Operations </w:t>
            </w:r>
            <w:r>
              <w:rPr>
                <w:rFonts w:ascii="Times New Roman" w:cs="Times New Roman" w:eastAsia="Times New Roman" w:hAnsi="Times New Roman"/>
                <w:sz w:val="23"/>
                <w:szCs w:val="23"/>
                <w:color w:val="auto"/>
                <w:vertAlign w:val="superscript"/>
              </w:rPr>
              <w:t>(2)</w:t>
            </w: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14"/>
        </w:trPr>
        <w:tc>
          <w:tcPr>
            <w:tcW w:w="3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goodwill</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0" w:type="dxa"/>
            <w:vAlign w:val="bottom"/>
          </w:tcPr>
          <w:p>
            <w:pPr>
              <w:spacing w:after="0"/>
              <w:rPr>
                <w:sz w:val="1"/>
                <w:szCs w:val="1"/>
                <w:color w:val="auto"/>
              </w:rPr>
            </w:pPr>
          </w:p>
        </w:tc>
      </w:tr>
      <w:tr>
        <w:trPr>
          <w:trHeight w:val="230"/>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Ark</w:t>
            </w:r>
          </w:p>
        </w:tc>
        <w:tc>
          <w:tcPr>
            <w:tcW w:w="14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Underwriting capacity</w:t>
            </w:r>
          </w:p>
        </w:tc>
        <w:tc>
          <w:tcPr>
            <w:tcW w:w="14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0" w:type="dxa"/>
            <w:vAlign w:val="bottom"/>
          </w:tcPr>
          <w:p>
            <w:pPr>
              <w:spacing w:after="0"/>
              <w:rPr>
                <w:sz w:val="1"/>
                <w:szCs w:val="1"/>
                <w:color w:val="auto"/>
              </w:rPr>
            </w:pPr>
          </w:p>
        </w:tc>
      </w:tr>
      <w:tr>
        <w:trPr>
          <w:trHeight w:val="234"/>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Kudu</w:t>
            </w:r>
          </w:p>
        </w:tc>
        <w:tc>
          <w:tcPr>
            <w:tcW w:w="1360" w:type="dxa"/>
            <w:vAlign w:val="bottom"/>
            <w:vMerge w:val="restart"/>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7"/>
              </w:rPr>
              <w:t>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3280" w:type="dxa"/>
            <w:vAlign w:val="bottom"/>
            <w:gridSpan w:val="3"/>
          </w:tcPr>
          <w:p>
            <w:pPr>
              <w:spacing w:after="0" w:line="23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Distinguished </w:t>
            </w:r>
            <w:r>
              <w:rPr>
                <w:rFonts w:ascii="Times New Roman" w:cs="Times New Roman" w:eastAsia="Times New Roman" w:hAnsi="Times New Roman"/>
                <w:sz w:val="23"/>
                <w:szCs w:val="23"/>
                <w:b w:val="1"/>
                <w:bCs w:val="1"/>
                <w:i w:val="1"/>
                <w:iCs w:val="1"/>
                <w:color w:val="auto"/>
                <w:vertAlign w:val="superscript"/>
              </w:rPr>
              <w:t>(2)</w:t>
            </w:r>
          </w:p>
        </w:tc>
        <w:tc>
          <w:tcPr>
            <w:tcW w:w="1360" w:type="dxa"/>
            <w:vAlign w:val="bottom"/>
            <w:vMerge w:val="restart"/>
          </w:tcPr>
          <w:p>
            <w:pPr>
              <w:jc w:val="center"/>
              <w:ind w:right="114"/>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Trade names</w:t>
            </w: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9"/>
        </w:trPr>
        <w:tc>
          <w:tcPr>
            <w:tcW w:w="3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Agency relationships</w:t>
            </w:r>
          </w:p>
        </w:tc>
        <w:tc>
          <w:tcPr>
            <w:tcW w:w="136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7"/>
              </w:rPr>
              <w:t>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38"/>
        </w:trPr>
        <w:tc>
          <w:tcPr>
            <w:tcW w:w="3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Developed technology</w:t>
            </w:r>
          </w:p>
        </w:tc>
        <w:tc>
          <w:tcPr>
            <w:tcW w:w="136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7"/>
              </w:rPr>
              <w:t>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1"/>
        </w:trPr>
        <w:tc>
          <w:tcPr>
            <w:tcW w:w="3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0" w:type="dxa"/>
            <w:vAlign w:val="bottom"/>
          </w:tcPr>
          <w:p>
            <w:pPr>
              <w:spacing w:after="0"/>
              <w:rPr>
                <w:sz w:val="1"/>
                <w:szCs w:val="1"/>
                <w:color w:val="auto"/>
              </w:rPr>
            </w:pPr>
          </w:p>
        </w:tc>
      </w:tr>
      <w:tr>
        <w:trPr>
          <w:trHeight w:val="237"/>
        </w:trPr>
        <w:tc>
          <w:tcPr>
            <w:tcW w:w="3280" w:type="dxa"/>
            <w:vAlign w:val="bottom"/>
            <w:gridSpan w:val="3"/>
          </w:tcPr>
          <w:p>
            <w:pPr>
              <w:spacing w:after="0" w:line="23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Other Operations </w:t>
            </w:r>
            <w:r>
              <w:rPr>
                <w:rFonts w:ascii="Times New Roman" w:cs="Times New Roman" w:eastAsia="Times New Roman" w:hAnsi="Times New Roman"/>
                <w:sz w:val="23"/>
                <w:szCs w:val="23"/>
                <w:b w:val="1"/>
                <w:bCs w:val="1"/>
                <w:i w:val="1"/>
                <w:iCs w:val="1"/>
                <w:color w:val="auto"/>
                <w:vertAlign w:val="superscript"/>
              </w:rPr>
              <w:t>(2)</w:t>
            </w:r>
          </w:p>
        </w:tc>
        <w:tc>
          <w:tcPr>
            <w:tcW w:w="1360" w:type="dxa"/>
            <w:vAlign w:val="bottom"/>
            <w:vMerge w:val="restart"/>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5"/>
              </w:rPr>
              <w:t>11.7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Trade names</w:t>
            </w: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9"/>
        </w:trPr>
        <w:tc>
          <w:tcPr>
            <w:tcW w:w="3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136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7"/>
              </w:rPr>
              <w:t>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38"/>
        </w:trPr>
        <w:tc>
          <w:tcPr>
            <w:tcW w:w="3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5"/>
              </w:rPr>
              <w:t>11.8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3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23"/>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Total goodwill and other intangible assets</w:t>
            </w: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1,068.7</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1,020.2</w:t>
            </w:r>
          </w:p>
        </w:tc>
        <w:tc>
          <w:tcPr>
            <w:tcW w:w="0" w:type="dxa"/>
            <w:vAlign w:val="bottom"/>
          </w:tcPr>
          <w:p>
            <w:pPr>
              <w:spacing w:after="0"/>
              <w:rPr>
                <w:sz w:val="1"/>
                <w:szCs w:val="1"/>
                <w:color w:val="auto"/>
              </w:rPr>
            </w:pP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439420</wp:posOffset>
            </wp:positionH>
            <wp:positionV relativeFrom="page">
              <wp:posOffset>594360</wp:posOffset>
            </wp:positionV>
            <wp:extent cx="65747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ind w:left="160" w:hanging="127"/>
        <w:spacing w:after="0"/>
        <w:tabs>
          <w:tab w:leader="none" w:pos="16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Impairment is related to an Other Operating Business.</w:t>
      </w:r>
    </w:p>
    <w:p>
      <w:pPr>
        <w:ind w:left="160" w:hanging="127"/>
        <w:spacing w:after="0"/>
        <w:tabs>
          <w:tab w:leader="none" w:pos="16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relative fair values of goodwill and other intangible assets recognized in connection with the Distinguished Transaction and the Enterprise Solutions Transaction had not yet been</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 xml:space="preserve">finalized. See </w:t>
      </w:r>
      <w:r>
        <w:rPr>
          <w:rFonts w:ascii="Times New Roman" w:cs="Times New Roman" w:eastAsia="Times New Roman" w:hAnsi="Times New Roman"/>
          <w:sz w:val="14"/>
          <w:szCs w:val="14"/>
          <w:b w:val="1"/>
          <w:bCs w:val="1"/>
          <w:color w:val="auto"/>
        </w:rPr>
        <w:t>Note 2 — “Significant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700" w:top="1087" w:right="5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Rollforward of Goodwill and Other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 in goodwill and other intangible assets for the three months ended March 31, 2026 and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580" w:type="dxa"/>
            <w:vAlign w:val="bottom"/>
            <w:tcBorders>
              <w:top w:val="single" w:sz="8" w:color="auto"/>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 Intangible</w:t>
            </w:r>
          </w:p>
        </w:tc>
        <w:tc>
          <w:tcPr>
            <w:tcW w:w="13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Total Goodwill and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Other Intangible</w:t>
            </w:r>
          </w:p>
        </w:tc>
        <w:tc>
          <w:tcPr>
            <w:tcW w:w="13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Total Goodwill and</w:t>
            </w:r>
          </w:p>
        </w:tc>
        <w:tc>
          <w:tcPr>
            <w:tcW w:w="0" w:type="dxa"/>
            <w:vAlign w:val="bottom"/>
          </w:tcPr>
          <w:p>
            <w:pPr>
              <w:spacing w:after="0"/>
              <w:rPr>
                <w:sz w:val="1"/>
                <w:szCs w:val="1"/>
                <w:color w:val="auto"/>
              </w:rPr>
            </w:pPr>
          </w:p>
        </w:tc>
      </w:tr>
      <w:tr>
        <w:trPr>
          <w:trHeight w:val="149"/>
        </w:trPr>
        <w:tc>
          <w:tcPr>
            <w:tcW w:w="3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2"/>
                <w:szCs w:val="12"/>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2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 Intangible</w:t>
            </w:r>
          </w:p>
        </w:tc>
        <w:tc>
          <w:tcPr>
            <w:tcW w:w="200" w:type="dxa"/>
            <w:vAlign w:val="bottom"/>
          </w:tcPr>
          <w:p>
            <w:pPr>
              <w:spacing w:after="0"/>
              <w:rPr>
                <w:sz w:val="12"/>
                <w:szCs w:val="12"/>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Other Intangible</w:t>
            </w:r>
          </w:p>
        </w:tc>
        <w:tc>
          <w:tcPr>
            <w:tcW w:w="0" w:type="dxa"/>
            <w:vAlign w:val="bottom"/>
          </w:tcPr>
          <w:p>
            <w:pPr>
              <w:spacing w:after="0"/>
              <w:rPr>
                <w:sz w:val="1"/>
                <w:szCs w:val="1"/>
                <w:color w:val="auto"/>
              </w:rPr>
            </w:pPr>
          </w:p>
        </w:tc>
      </w:tr>
      <w:tr>
        <w:trPr>
          <w:trHeight w:val="196"/>
        </w:trPr>
        <w:tc>
          <w:tcPr>
            <w:tcW w:w="32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7"/>
                <w:szCs w:val="17"/>
                <w:color w:val="auto"/>
              </w:rPr>
            </w:pPr>
          </w:p>
        </w:tc>
        <w:tc>
          <w:tcPr>
            <w:tcW w:w="12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20"/>
        </w:trPr>
        <w:tc>
          <w:tcPr>
            <w:tcW w:w="3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614.1</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406.1</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1,020.2</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0" w:type="dxa"/>
            <w:vAlign w:val="bottom"/>
          </w:tcPr>
          <w:p>
            <w:pPr>
              <w:spacing w:after="0"/>
              <w:rPr>
                <w:sz w:val="1"/>
                <w:szCs w:val="1"/>
                <w:color w:val="auto"/>
              </w:rPr>
            </w:pPr>
          </w:p>
        </w:tc>
      </w:tr>
      <w:tr>
        <w:trPr>
          <w:trHeight w:val="230"/>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Measurement period adjustments </w:t>
            </w:r>
            <w:r>
              <w:rPr>
                <w:rFonts w:ascii="Times New Roman" w:cs="Times New Roman" w:eastAsia="Times New Roman" w:hAnsi="Times New Roman"/>
                <w:sz w:val="9"/>
                <w:szCs w:val="9"/>
                <w:color w:val="auto"/>
              </w:rPr>
              <w:t>(1)</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615.3</w:t>
            </w:r>
          </w:p>
        </w:tc>
        <w:tc>
          <w:tcPr>
            <w:tcW w:w="10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396.4</w:t>
            </w:r>
          </w:p>
        </w:tc>
        <w:tc>
          <w:tcPr>
            <w:tcW w:w="10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1,011.7</w:t>
            </w:r>
          </w:p>
        </w:tc>
        <w:tc>
          <w:tcPr>
            <w:tcW w:w="1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715.1</w:t>
            </w:r>
          </w:p>
        </w:tc>
        <w:tc>
          <w:tcPr>
            <w:tcW w:w="0" w:type="dxa"/>
            <w:vAlign w:val="bottom"/>
          </w:tcPr>
          <w:p>
            <w:pPr>
              <w:spacing w:after="0"/>
              <w:rPr>
                <w:sz w:val="1"/>
                <w:szCs w:val="1"/>
                <w:color w:val="auto"/>
              </w:rPr>
            </w:pPr>
          </w:p>
        </w:tc>
      </w:tr>
      <w:tr>
        <w:trPr>
          <w:trHeight w:val="21"/>
        </w:trPr>
        <w:tc>
          <w:tcPr>
            <w:tcW w:w="3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140" w:hanging="132"/>
        <w:spacing w:after="0"/>
        <w:tabs>
          <w:tab w:leader="none" w:pos="140"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Measurement period adjustments relate to updated information about acquisition date fair values of assets acquired and liabilities assumed. Adjustments relate to the Distinguished Transaction.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White Mountains did not recognize any impairments to goodwill and other intangible assets.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Loss and Loss Adjustment Expense Reserves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Ark/WM Outrigger</w:t>
      </w:r>
    </w:p>
    <w:p>
      <w:pPr>
        <w:spacing w:after="0" w:line="256" w:lineRule="exact"/>
        <w:rPr>
          <w:sz w:val="20"/>
          <w:szCs w:val="20"/>
          <w:color w:val="auto"/>
        </w:rPr>
      </w:pPr>
    </w:p>
    <w:p>
      <w:pPr>
        <w:ind w:right="320"/>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loss and loss adjustment expense (“LAE”) reserve activity of the Ark/WM Outrigger segment for the three months ended March 31, 2026 and 2025:</w:t>
      </w:r>
    </w:p>
    <w:tbl>
      <w:tblPr>
        <w:tblLayout w:type="fixed"/>
        <w:tblInd w:w="880" w:type="dxa"/>
        <w:tblCellMar>
          <w:top w:w="0" w:type="dxa"/>
          <w:left w:w="0" w:type="dxa"/>
          <w:bottom w:w="0" w:type="dxa"/>
          <w:right w:w="0" w:type="dxa"/>
        </w:tblCellMar>
      </w:tblPr>
      <w:tr>
        <w:trPr>
          <w:trHeight w:val="191"/>
        </w:trPr>
        <w:tc>
          <w:tcPr>
            <w:tcW w:w="68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2820" w:type="dxa"/>
            <w:vAlign w:val="bottom"/>
            <w:tcBorders>
              <w:top w:val="single" w:sz="8" w:color="auto"/>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Pr>
          <w:p>
            <w:pPr>
              <w:spacing w:after="0"/>
              <w:rPr>
                <w:sz w:val="17"/>
                <w:szCs w:val="17"/>
                <w:color w:val="auto"/>
              </w:rPr>
            </w:pPr>
          </w:p>
        </w:tc>
        <w:tc>
          <w:tcPr>
            <w:tcW w:w="11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0"/>
        </w:trPr>
        <w:tc>
          <w:tcPr>
            <w:tcW w:w="6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Gross beginning balance</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2,481.0</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2,127.5</w:t>
            </w:r>
          </w:p>
        </w:tc>
        <w:tc>
          <w:tcPr>
            <w:tcW w:w="0" w:type="dxa"/>
            <w:vAlign w:val="bottom"/>
          </w:tcPr>
          <w:p>
            <w:pPr>
              <w:spacing w:after="0"/>
              <w:rPr>
                <w:sz w:val="1"/>
                <w:szCs w:val="1"/>
                <w:color w:val="auto"/>
              </w:rPr>
            </w:pPr>
          </w:p>
        </w:tc>
      </w:tr>
      <w:tr>
        <w:trPr>
          <w:trHeight w:val="238"/>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beginning reinsurance recoverable on unpaid losses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(508.3)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0" w:type="dxa"/>
            <w:vAlign w:val="bottom"/>
          </w:tcPr>
          <w:p>
            <w:pPr>
              <w:spacing w:after="0"/>
              <w:rPr>
                <w:sz w:val="1"/>
                <w:szCs w:val="1"/>
                <w:color w:val="auto"/>
              </w:rPr>
            </w:pPr>
          </w:p>
        </w:tc>
      </w:tr>
      <w:tr>
        <w:trPr>
          <w:trHeight w:val="232"/>
        </w:trPr>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loss and LAE reserves</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1,693.1</w:t>
            </w:r>
          </w:p>
        </w:tc>
        <w:tc>
          <w:tcPr>
            <w:tcW w:w="0" w:type="dxa"/>
            <w:vAlign w:val="bottom"/>
          </w:tcPr>
          <w:p>
            <w:pPr>
              <w:spacing w:after="0"/>
              <w:rPr>
                <w:sz w:val="1"/>
                <w:szCs w:val="1"/>
                <w:color w:val="auto"/>
              </w:rPr>
            </w:pPr>
          </w:p>
        </w:tc>
      </w:tr>
      <w:tr>
        <w:trPr>
          <w:trHeight w:val="27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and LAE incurred relating to:</w:t>
            </w:r>
          </w:p>
        </w:tc>
        <w:tc>
          <w:tcPr>
            <w:tcW w:w="340" w:type="dxa"/>
            <w:vAlign w:val="bottom"/>
          </w:tcPr>
          <w:p>
            <w:pPr>
              <w:spacing w:after="0"/>
              <w:rPr>
                <w:sz w:val="23"/>
                <w:szCs w:val="2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225.0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Current year losses</w:t>
            </w: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0" w:type="dxa"/>
            <w:vAlign w:val="bottom"/>
          </w:tcPr>
          <w:p>
            <w:pPr>
              <w:spacing w:after="0"/>
              <w:rPr>
                <w:sz w:val="1"/>
                <w:szCs w:val="1"/>
                <w:color w:val="auto"/>
              </w:rPr>
            </w:pPr>
          </w:p>
        </w:tc>
      </w:tr>
      <w:tr>
        <w:trPr>
          <w:trHeight w:val="238"/>
        </w:trPr>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Prior year losses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32"/>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incurred loss and LAE</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0" w:type="dxa"/>
            <w:vAlign w:val="bottom"/>
          </w:tcPr>
          <w:p>
            <w:pPr>
              <w:spacing w:after="0"/>
              <w:rPr>
                <w:sz w:val="1"/>
                <w:szCs w:val="1"/>
                <w:color w:val="auto"/>
              </w:rPr>
            </w:pPr>
          </w:p>
        </w:tc>
      </w:tr>
      <w:tr>
        <w:trPr>
          <w:trHeight w:val="27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and LAE paid relating to:</w:t>
            </w:r>
          </w:p>
        </w:tc>
        <w:tc>
          <w:tcPr>
            <w:tcW w:w="340" w:type="dxa"/>
            <w:vAlign w:val="bottom"/>
          </w:tcPr>
          <w:p>
            <w:pPr>
              <w:spacing w:after="0"/>
              <w:rPr>
                <w:sz w:val="23"/>
                <w:szCs w:val="2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Current year losses</w:t>
            </w: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38"/>
        </w:trPr>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Prior year losses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(108.5)</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32"/>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paid loss and LAE</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75"/>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 adjustments to loss and LAE reserves</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4"/>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ending balance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1,773.3</w:t>
            </w:r>
          </w:p>
        </w:tc>
        <w:tc>
          <w:tcPr>
            <w:tcW w:w="0" w:type="dxa"/>
            <w:vAlign w:val="bottom"/>
          </w:tcPr>
          <w:p>
            <w:pPr>
              <w:spacing w:after="0"/>
              <w:rPr>
                <w:sz w:val="1"/>
                <w:szCs w:val="1"/>
                <w:color w:val="auto"/>
              </w:rPr>
            </w:pPr>
          </w:p>
        </w:tc>
      </w:tr>
      <w:tr>
        <w:trPr>
          <w:trHeight w:val="238"/>
        </w:trPr>
        <w:tc>
          <w:tcPr>
            <w:tcW w:w="6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Plus: ending reinsurance recoverable on unpaid losses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528.6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Gross ending balance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2,585.6</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2,253.9</w:t>
            </w:r>
          </w:p>
        </w:tc>
        <w:tc>
          <w:tcPr>
            <w:tcW w:w="0" w:type="dxa"/>
            <w:vAlign w:val="bottom"/>
          </w:tcPr>
          <w:p>
            <w:pPr>
              <w:spacing w:after="0"/>
              <w:rPr>
                <w:sz w:val="1"/>
                <w:szCs w:val="1"/>
                <w:color w:val="auto"/>
              </w:rPr>
            </w:pPr>
          </w:p>
        </w:tc>
      </w:tr>
      <w:tr>
        <w:trPr>
          <w:trHeight w:val="20"/>
        </w:trPr>
        <w:tc>
          <w:tcPr>
            <w:tcW w:w="6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the Ark/WM Outrigger segment experienced $18.3 million of net favorable prior year loss reserve development, driven primarily by favorable development in the specialty and property lines of business. For the three months ended March 31, 2025, the Ark/WM Outrigger segment experienced $52.8 million of net favorable prior year loss reserve development, driven primarily by the marine &amp; energy and property lines of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HG Global</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HG Re did not have any outstanding loss and LAE reserves. For the three months ended March 31, 2026 and 2025, HG Re did not recognize any incurred loss and LAE.</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Third-Party Reinsurance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Ark/WM Outrigger</w:t>
      </w:r>
    </w:p>
    <w:p>
      <w:pPr>
        <w:spacing w:after="0" w:line="256"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Ark may seek to limit losses that arise from catastrophes or other events by reinsuring certain risks with third-party reinsurers. Ark remains liable for risks reinsured in the event that the reinsurer does not honor its obligations under reinsurance contracts.</w:t>
      </w:r>
    </w:p>
    <w:p>
      <w:pPr>
        <w:ind w:right="220"/>
        <w:spacing w:after="0" w:line="260" w:lineRule="auto"/>
        <w:rPr>
          <w:sz w:val="20"/>
          <w:szCs w:val="20"/>
          <w:color w:val="auto"/>
        </w:rPr>
      </w:pPr>
      <w:r>
        <w:rPr>
          <w:rFonts w:ascii="Times New Roman" w:cs="Times New Roman" w:eastAsia="Times New Roman" w:hAnsi="Times New Roman"/>
          <w:sz w:val="18"/>
          <w:szCs w:val="18"/>
          <w:color w:val="auto"/>
        </w:rPr>
        <w:t>The following table summarizes the effects of reinsurance on written and earned premiums and on loss and LAE for the Ark/WM Outrigger segment for the three months ended March 31, 2026 and 2025:</w:t>
      </w:r>
    </w:p>
    <w:p>
      <w:pPr>
        <w:spacing w:after="0" w:line="99" w:lineRule="exact"/>
        <w:rPr>
          <w:sz w:val="20"/>
          <w:szCs w:val="20"/>
          <w:color w:val="auto"/>
        </w:rPr>
      </w:pPr>
    </w:p>
    <w:tbl>
      <w:tblPr>
        <w:tblLayout w:type="fixed"/>
        <w:tblInd w:w="1860" w:type="dxa"/>
        <w:tblCellMar>
          <w:top w:w="0" w:type="dxa"/>
          <w:left w:w="0" w:type="dxa"/>
          <w:bottom w:w="0" w:type="dxa"/>
          <w:right w:w="0" w:type="dxa"/>
        </w:tblCellMar>
      </w:tblPr>
      <w:tr>
        <w:trPr>
          <w:trHeight w:val="209"/>
        </w:trPr>
        <w:tc>
          <w:tcPr>
            <w:tcW w:w="3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3180" w:type="dxa"/>
            <w:vAlign w:val="bottom"/>
            <w:tcBorders>
              <w:top w:val="single" w:sz="8" w:color="auto"/>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00" w:type="dxa"/>
            <w:vAlign w:val="bottom"/>
          </w:tcPr>
          <w:p>
            <w:pPr>
              <w:spacing w:after="0"/>
              <w:rPr>
                <w:sz w:val="17"/>
                <w:szCs w:val="17"/>
                <w:color w:val="auto"/>
              </w:rPr>
            </w:pPr>
          </w:p>
        </w:tc>
        <w:tc>
          <w:tcPr>
            <w:tcW w:w="134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4"/>
        </w:trPr>
        <w:tc>
          <w:tcPr>
            <w:tcW w:w="3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Written premiums:</w:t>
            </w:r>
          </w:p>
        </w:tc>
        <w:tc>
          <w:tcPr>
            <w:tcW w:w="120" w:type="dxa"/>
            <w:vAlign w:val="bottom"/>
          </w:tcPr>
          <w:p>
            <w:pPr>
              <w:spacing w:after="0"/>
              <w:rPr>
                <w:sz w:val="19"/>
                <w:szCs w:val="19"/>
                <w:color w:val="auto"/>
              </w:rPr>
            </w:pPr>
          </w:p>
        </w:tc>
        <w:tc>
          <w:tcPr>
            <w:tcW w:w="40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357.3</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40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0" w:type="dxa"/>
            <w:vAlign w:val="bottom"/>
          </w:tcPr>
          <w:p>
            <w:pPr>
              <w:spacing w:after="0"/>
              <w:rPr>
                <w:sz w:val="1"/>
                <w:szCs w:val="1"/>
                <w:color w:val="auto"/>
              </w:rPr>
            </w:pPr>
          </w:p>
        </w:tc>
      </w:tr>
      <w:tr>
        <w:trPr>
          <w:trHeight w:val="238"/>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Assumed</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733.6</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0" w:type="dxa"/>
            <w:vAlign w:val="bottom"/>
          </w:tcPr>
          <w:p>
            <w:pPr>
              <w:spacing w:after="0"/>
              <w:rPr>
                <w:sz w:val="1"/>
                <w:szCs w:val="1"/>
                <w:color w:val="auto"/>
              </w:rPr>
            </w:pPr>
          </w:p>
        </w:tc>
      </w:tr>
      <w:tr>
        <w:trPr>
          <w:trHeight w:val="218"/>
        </w:trPr>
        <w:tc>
          <w:tcPr>
            <w:tcW w:w="3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Gross written premiums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1,090.9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1,107.6</w:t>
            </w:r>
          </w:p>
        </w:tc>
        <w:tc>
          <w:tcPr>
            <w:tcW w:w="0" w:type="dxa"/>
            <w:vAlign w:val="bottom"/>
          </w:tcPr>
          <w:p>
            <w:pPr>
              <w:spacing w:after="0"/>
              <w:rPr>
                <w:sz w:val="1"/>
                <w:szCs w:val="1"/>
                <w:color w:val="auto"/>
              </w:rPr>
            </w:pPr>
          </w:p>
        </w:tc>
      </w:tr>
      <w:tr>
        <w:trPr>
          <w:trHeight w:val="248"/>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Ceded </w:t>
            </w:r>
            <w:r>
              <w:rPr>
                <w:rFonts w:ascii="Times New Roman" w:cs="Times New Roman" w:eastAsia="Times New Roman" w:hAnsi="Times New Roman"/>
                <w:sz w:val="9"/>
                <w:szCs w:val="9"/>
                <w:color w:val="auto"/>
              </w:rPr>
              <w:t>(1)</w:t>
            </w: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(500.8)</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0" w:type="dxa"/>
            <w:vAlign w:val="bottom"/>
          </w:tcPr>
          <w:p>
            <w:pPr>
              <w:spacing w:after="0"/>
              <w:rPr>
                <w:sz w:val="1"/>
                <w:szCs w:val="1"/>
                <w:color w:val="auto"/>
              </w:rPr>
            </w:pPr>
          </w:p>
        </w:tc>
      </w:tr>
      <w:tr>
        <w:trPr>
          <w:trHeight w:val="223"/>
        </w:trPr>
        <w:tc>
          <w:tcPr>
            <w:tcW w:w="3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written premiums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727.7</w:t>
            </w:r>
          </w:p>
        </w:tc>
        <w:tc>
          <w:tcPr>
            <w:tcW w:w="0" w:type="dxa"/>
            <w:vAlign w:val="bottom"/>
          </w:tcPr>
          <w:p>
            <w:pPr>
              <w:spacing w:after="0"/>
              <w:rPr>
                <w:sz w:val="1"/>
                <w:szCs w:val="1"/>
                <w:color w:val="auto"/>
              </w:rPr>
            </w:pPr>
          </w:p>
        </w:tc>
      </w:tr>
      <w:tr>
        <w:trPr>
          <w:trHeight w:val="21"/>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Earned premiums:</w:t>
            </w: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960" w:type="dxa"/>
            <w:vAlign w:val="bottom"/>
            <w:gridSpan w:val="2"/>
            <w:vMerge w:val="continue"/>
          </w:tcPr>
          <w:p>
            <w:pPr>
              <w:spacing w:after="0"/>
              <w:rPr>
                <w:sz w:val="16"/>
                <w:szCs w:val="16"/>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266.7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40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0" w:type="dxa"/>
            <w:vAlign w:val="bottom"/>
          </w:tcPr>
          <w:p>
            <w:pPr>
              <w:spacing w:after="0"/>
              <w:rPr>
                <w:sz w:val="1"/>
                <w:szCs w:val="1"/>
                <w:color w:val="auto"/>
              </w:rPr>
            </w:pPr>
          </w:p>
        </w:tc>
      </w:tr>
      <w:tr>
        <w:trPr>
          <w:trHeight w:val="238"/>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Assumed</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236.8</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18"/>
        </w:trPr>
        <w:tc>
          <w:tcPr>
            <w:tcW w:w="3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Gross earned premiums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0" w:type="dxa"/>
            <w:vAlign w:val="bottom"/>
          </w:tcPr>
          <w:p>
            <w:pPr>
              <w:spacing w:after="0"/>
              <w:rPr>
                <w:sz w:val="1"/>
                <w:szCs w:val="1"/>
                <w:color w:val="auto"/>
              </w:rPr>
            </w:pPr>
          </w:p>
        </w:tc>
      </w:tr>
      <w:tr>
        <w:trPr>
          <w:trHeight w:val="248"/>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Ceded </w:t>
            </w:r>
            <w:r>
              <w:rPr>
                <w:rFonts w:ascii="Times New Roman" w:cs="Times New Roman" w:eastAsia="Times New Roman" w:hAnsi="Times New Roman"/>
                <w:sz w:val="9"/>
                <w:szCs w:val="9"/>
                <w:color w:val="auto"/>
              </w:rPr>
              <w:t>(2)</w:t>
            </w: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(129.7)</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23"/>
        </w:trPr>
        <w:tc>
          <w:tcPr>
            <w:tcW w:w="3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earned premiums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0" w:type="dxa"/>
            <w:vAlign w:val="bottom"/>
          </w:tcPr>
          <w:p>
            <w:pPr>
              <w:spacing w:after="0"/>
              <w:rPr>
                <w:sz w:val="1"/>
                <w:szCs w:val="1"/>
                <w:color w:val="auto"/>
              </w:rPr>
            </w:pPr>
          </w:p>
        </w:tc>
      </w:tr>
      <w:tr>
        <w:trPr>
          <w:trHeight w:val="21"/>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Loss and LAE:</w:t>
            </w: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960" w:type="dxa"/>
            <w:vAlign w:val="bottom"/>
            <w:gridSpan w:val="2"/>
            <w:vMerge w:val="continue"/>
          </w:tcPr>
          <w:p>
            <w:pPr>
              <w:spacing w:after="0"/>
              <w:rPr>
                <w:sz w:val="16"/>
                <w:szCs w:val="16"/>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264.0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Gross</w:t>
            </w:r>
          </w:p>
        </w:tc>
        <w:tc>
          <w:tcPr>
            <w:tcW w:w="40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0" w:type="dxa"/>
            <w:vAlign w:val="bottom"/>
          </w:tcPr>
          <w:p>
            <w:pPr>
              <w:spacing w:after="0"/>
              <w:rPr>
                <w:sz w:val="1"/>
                <w:szCs w:val="1"/>
                <w:color w:val="auto"/>
              </w:rPr>
            </w:pPr>
          </w:p>
        </w:tc>
      </w:tr>
      <w:tr>
        <w:trPr>
          <w:trHeight w:val="248"/>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Ceded </w:t>
            </w:r>
            <w:r>
              <w:rPr>
                <w:rFonts w:ascii="Times New Roman" w:cs="Times New Roman" w:eastAsia="Times New Roman" w:hAnsi="Times New Roman"/>
                <w:sz w:val="9"/>
                <w:szCs w:val="9"/>
                <w:color w:val="auto"/>
              </w:rPr>
              <w:t>(3)</w:t>
            </w: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Net loss and LAE</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206.7</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0" w:type="dxa"/>
            <w:vAlign w:val="bottom"/>
          </w:tcPr>
          <w:p>
            <w:pPr>
              <w:spacing w:after="0"/>
              <w:rPr>
                <w:sz w:val="1"/>
                <w:szCs w:val="1"/>
                <w:color w:val="auto"/>
              </w:rPr>
            </w:pP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700" w:right="1540" w:hanging="153"/>
        <w:spacing w:after="0" w:line="243" w:lineRule="auto"/>
        <w:tabs>
          <w:tab w:leader="none" w:pos="1683"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three months ended March 31, 2026 and 2025 exclude written premiums of $0.0 and $37.5 ceded by Ark to WM Outrigger Re, which eliminate in White Mountains’s consolidated financial statements.</w:t>
      </w:r>
    </w:p>
    <w:p>
      <w:pPr>
        <w:ind w:left="1700" w:right="1580" w:hanging="153"/>
        <w:spacing w:after="0" w:line="280" w:lineRule="auto"/>
        <w:tabs>
          <w:tab w:leader="none" w:pos="167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three months ended March 31, 2026 and 2025 exclude earned premiums of $2.7 and $12.0 ceded by Ark to WM Outrigger Re, which eliminate in White Mountains’s consolidated financial statements.</w:t>
      </w:r>
    </w:p>
    <w:p>
      <w:pPr>
        <w:spacing w:after="0" w:line="3" w:lineRule="exact"/>
        <w:rPr>
          <w:rFonts w:ascii="Times New Roman" w:cs="Times New Roman" w:eastAsia="Times New Roman" w:hAnsi="Times New Roman"/>
          <w:sz w:val="9"/>
          <w:szCs w:val="9"/>
          <w:color w:val="auto"/>
        </w:rPr>
      </w:pPr>
    </w:p>
    <w:p>
      <w:pPr>
        <w:ind w:left="1700" w:right="1780" w:hanging="153"/>
        <w:spacing w:after="0" w:line="270" w:lineRule="auto"/>
        <w:tabs>
          <w:tab w:leader="none" w:pos="1683"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three months ended March 31, 2026 and 2025 exclude loss and LAE of $0.3 and $20.2 ceded by Ark to WM Outrigger Re, which eliminate in White Mountains’s consolidated financial statements.</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Ark/WM Outrigger segment’s reinsurance recoverables as of March 31, 2026 and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102870</wp:posOffset>
            </wp:positionV>
            <wp:extent cx="63690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69050" cy="8890"/>
                    </a:xfrm>
                    <a:prstGeom prst="rect">
                      <a:avLst/>
                    </a:prstGeom>
                    <a:noFill/>
                  </pic:spPr>
                </pic:pic>
              </a:graphicData>
            </a:graphic>
          </wp:anchor>
        </w:drawing>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90"/>
        </w:trPr>
        <w:tc>
          <w:tcPr>
            <w:tcW w:w="6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5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6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5"/>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Reinsurance recoverables on unpaid losses </w:t>
            </w:r>
            <w:r>
              <w:rPr>
                <w:rFonts w:ascii="Times New Roman" w:cs="Times New Roman" w:eastAsia="Times New Roman" w:hAnsi="Times New Roman"/>
                <w:sz w:val="9"/>
                <w:szCs w:val="9"/>
                <w:color w:val="auto"/>
              </w:rPr>
              <w:t>(1)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528.6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r>
      <w:tr>
        <w:trPr>
          <w:trHeight w:val="257"/>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Reinsurance recoverables on paid losses </w:t>
            </w:r>
            <w:r>
              <w:rPr>
                <w:rFonts w:ascii="Times New Roman" w:cs="Times New Roman" w:eastAsia="Times New Roman" w:hAnsi="Times New Roman"/>
                <w:sz w:val="9"/>
                <w:szCs w:val="9"/>
                <w:color w:val="auto"/>
              </w:rPr>
              <w:t>(2)</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r>
      <w:tr>
        <w:trPr>
          <w:trHeight w:val="261"/>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Ceded unearned premiums </w:t>
            </w:r>
            <w:r>
              <w:rPr>
                <w:rFonts w:ascii="Times New Roman" w:cs="Times New Roman" w:eastAsia="Times New Roman" w:hAnsi="Times New Roman"/>
                <w:sz w:val="9"/>
                <w:szCs w:val="9"/>
                <w:color w:val="auto"/>
              </w:rPr>
              <w:t>(3)</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581.4</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w:t>
            </w:r>
          </w:p>
        </w:tc>
      </w:tr>
      <w:tr>
        <w:trPr>
          <w:trHeight w:val="237"/>
        </w:trPr>
        <w:tc>
          <w:tcPr>
            <w:tcW w:w="65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Reinsurance recoverables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1,179.3</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836.1</w:t>
            </w:r>
          </w:p>
        </w:tc>
      </w:tr>
      <w:tr>
        <w:trPr>
          <w:trHeight w:val="20"/>
        </w:trPr>
        <w:tc>
          <w:tcPr>
            <w:tcW w:w="6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660" w:right="580" w:hanging="166"/>
        <w:spacing w:after="0" w:line="271" w:lineRule="auto"/>
        <w:tabs>
          <w:tab w:leader="none" w:pos="643"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reinsurance recoverables on unpaid losses exclude $27.7 and $29.5 ceded by Ark to WM Outrigger Re as of March 31, 2026 and December 31, 2025, which eliminate in White Mountains’s consolidated financial statements.</w:t>
      </w:r>
    </w:p>
    <w:p>
      <w:pPr>
        <w:ind w:left="660" w:right="860" w:hanging="166"/>
        <w:spacing w:after="0" w:line="215" w:lineRule="auto"/>
        <w:tabs>
          <w:tab w:leader="none" w:pos="643"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reinsurance recoverables on paid losses exclude $2.1 and $5.2 ceded by Ark to WM Outrigger Re as of March 31, 2026 and December 31, 2025, which eliminate in White Mountains’s consolidated financial statements.</w:t>
      </w:r>
    </w:p>
    <w:p>
      <w:pPr>
        <w:ind w:left="660" w:right="1240" w:hanging="166"/>
        <w:spacing w:after="0" w:line="278" w:lineRule="auto"/>
        <w:tabs>
          <w:tab w:leader="none" w:pos="643"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ceded unearned premiums exclude $1.1 and $3.9 ceded by Ark to WM Outrigger Re as of March 31, 2026 and December 31, 2025, which eliminate in White Mountains’s consolidated financial statements.</w:t>
      </w:r>
    </w:p>
    <w:p>
      <w:pPr>
        <w:spacing w:after="0" w:line="20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reinsurance contracts do not relieve Ark of its obligation to its policyholders, Ark seeks to reduce the credit risk associated with reinsurance balances by avoiding over-reliance on specific reinsurers through the application of concentration limits and thresholds. Ark is selective with its reinsurers, placing reinsurance with only those reinsurers having a strong financial condition. Ark monitors the financial strength of its reinsurers on an ongoing basis.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The following table presents the Ark/WM Outrigger segment’s gross and net reinsurance recoverables by the reinsurers’ A.M. Best Company, Inc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ratings as of March 31, 2026:</w:t>
      </w:r>
    </w:p>
    <w:p>
      <w:pPr>
        <w:spacing w:after="0" w:line="70" w:lineRule="exact"/>
        <w:rPr>
          <w:sz w:val="20"/>
          <w:szCs w:val="20"/>
          <w:color w:val="auto"/>
        </w:rPr>
      </w:pPr>
    </w:p>
    <w:tbl>
      <w:tblPr>
        <w:tblLayout w:type="fixed"/>
        <w:tblInd w:w="380" w:type="dxa"/>
        <w:tblCellMar>
          <w:top w:w="0" w:type="dxa"/>
          <w:left w:w="0" w:type="dxa"/>
          <w:bottom w:w="0" w:type="dxa"/>
          <w:right w:w="0" w:type="dxa"/>
        </w:tblCellMar>
      </w:tblPr>
      <w:tr>
        <w:trPr>
          <w:trHeight w:val="209"/>
        </w:trPr>
        <w:tc>
          <w:tcPr>
            <w:tcW w:w="37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3060" w:type="dxa"/>
            <w:vAlign w:val="bottom"/>
            <w:tcBorders>
              <w:top w:val="single" w:sz="8" w:color="auto"/>
              <w:bottom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5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r>
      <w:tr>
        <w:trPr>
          <w:trHeight w:val="203"/>
        </w:trPr>
        <w:tc>
          <w:tcPr>
            <w:tcW w:w="376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A.M. Best Rating </w:t>
            </w:r>
            <w:r>
              <w:rPr>
                <w:rFonts w:ascii="Times New Roman" w:cs="Times New Roman" w:eastAsia="Times New Roman" w:hAnsi="Times New Roman"/>
                <w:sz w:val="18"/>
                <w:szCs w:val="18"/>
                <w:b w:val="1"/>
                <w:bCs w:val="1"/>
                <w:color w:val="auto"/>
                <w:vertAlign w:val="superscript"/>
              </w:rPr>
              <w:t>(1)</w:t>
            </w:r>
          </w:p>
        </w:tc>
        <w:tc>
          <w:tcPr>
            <w:tcW w:w="340" w:type="dxa"/>
            <w:vAlign w:val="bottom"/>
          </w:tcPr>
          <w:p>
            <w:pPr>
              <w:spacing w:after="0"/>
              <w:rPr>
                <w:sz w:val="17"/>
                <w:szCs w:val="17"/>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17"/>
                <w:szCs w:val="17"/>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400" w:type="dxa"/>
            <w:vAlign w:val="bottom"/>
          </w:tcPr>
          <w:p>
            <w:pPr>
              <w:spacing w:after="0"/>
              <w:rPr>
                <w:sz w:val="17"/>
                <w:szCs w:val="17"/>
                <w:color w:val="auto"/>
              </w:rPr>
            </w:pP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5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200" w:type="dxa"/>
            <w:vAlign w:val="bottom"/>
          </w:tcPr>
          <w:p>
            <w:pPr>
              <w:spacing w:after="0"/>
              <w:rPr>
                <w:sz w:val="17"/>
                <w:szCs w:val="17"/>
                <w:color w:val="auto"/>
              </w:rPr>
            </w:pPr>
          </w:p>
        </w:tc>
      </w:tr>
      <w:tr>
        <w:trPr>
          <w:trHeight w:val="218"/>
        </w:trPr>
        <w:tc>
          <w:tcPr>
            <w:tcW w:w="3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 or better</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100" w:type="dxa"/>
            <w:vAlign w:val="bottom"/>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to A</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tcPr>
          <w:p>
            <w:pPr>
              <w:spacing w:after="0"/>
              <w:rPr>
                <w:sz w:val="19"/>
                <w:szCs w:val="19"/>
                <w:color w:val="auto"/>
              </w:rPr>
            </w:pP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 or lower and not rated </w:t>
            </w:r>
            <w:r>
              <w:rPr>
                <w:rFonts w:ascii="Times New Roman" w:cs="Times New Roman" w:eastAsia="Times New Roman" w:hAnsi="Times New Roman"/>
                <w:sz w:val="9"/>
                <w:szCs w:val="9"/>
                <w:color w:val="auto"/>
              </w:rPr>
              <w:t>(2)</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auto"/>
            </w:tcBorders>
          </w:tcPr>
          <w:p>
            <w:pPr>
              <w:spacing w:after="0"/>
              <w:rPr>
                <w:sz w:val="20"/>
                <w:szCs w:val="20"/>
                <w:color w:val="auto"/>
              </w:rPr>
            </w:pPr>
          </w:p>
        </w:tc>
      </w:tr>
      <w:tr>
        <w:trPr>
          <w:trHeight w:val="223"/>
        </w:trPr>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597.9</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544.9</w:t>
            </w:r>
          </w:p>
        </w:tc>
        <w:tc>
          <w:tcPr>
            <w:tcW w:w="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r>
      <w:tr>
        <w:trPr>
          <w:trHeight w:val="21"/>
        </w:trPr>
        <w:tc>
          <w:tcPr>
            <w:tcW w:w="3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ind w:left="460" w:hanging="128"/>
        <w:spacing w:after="0"/>
        <w:tabs>
          <w:tab w:leader="none" w:pos="46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A.M. Best financial strength ratings as detailed above are: “A+ or better” (Superior) “A- to A” (Excellent), “B++” (Good).</w:t>
      </w:r>
    </w:p>
    <w:p>
      <w:pPr>
        <w:ind w:left="480" w:hanging="148"/>
        <w:spacing w:after="0"/>
        <w:tabs>
          <w:tab w:leader="none" w:pos="48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Excludes $29.8 ceded by Ark to WM Outrigger Re as of March 31, 2026, which eliminates in White Mountains’s consolidated financial statements.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White Mountains’s debt outstanding as of March 31, 2026 and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128905</wp:posOffset>
            </wp:positionV>
            <wp:extent cx="54946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94655" cy="8255"/>
                    </a:xfrm>
                    <a:prstGeom prst="rect">
                      <a:avLst/>
                    </a:prstGeom>
                    <a:noFill/>
                  </pic:spPr>
                </pic:pic>
              </a:graphicData>
            </a:graphic>
          </wp:anchor>
        </w:drawing>
      </w:r>
    </w:p>
    <w:p>
      <w:pPr>
        <w:spacing w:after="0" w:line="18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40" w:type="dxa"/>
            <w:vAlign w:val="bottom"/>
          </w:tcPr>
          <w:p>
            <w:pPr>
              <w:spacing w:after="0"/>
              <w:rPr>
                <w:sz w:val="13"/>
                <w:szCs w:val="13"/>
                <w:color w:val="auto"/>
              </w:rPr>
            </w:pPr>
          </w:p>
        </w:tc>
        <w:tc>
          <w:tcPr>
            <w:tcW w:w="118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3"/>
                <w:szCs w:val="13"/>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13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3"/>
                <w:szCs w:val="13"/>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0" w:type="dxa"/>
            <w:vAlign w:val="bottom"/>
          </w:tcPr>
          <w:p>
            <w:pPr>
              <w:spacing w:after="0"/>
              <w:rPr>
                <w:sz w:val="1"/>
                <w:szCs w:val="1"/>
                <w:color w:val="auto"/>
              </w:rPr>
            </w:pPr>
          </w:p>
        </w:tc>
      </w:tr>
      <w:tr>
        <w:trPr>
          <w:trHeight w:val="196"/>
        </w:trPr>
        <w:tc>
          <w:tcPr>
            <w:tcW w:w="3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9"/>
                <w:szCs w:val="9"/>
                <w:b w:val="1"/>
                <w:bCs w:val="1"/>
                <w:color w:val="auto"/>
              </w:rPr>
              <w:t>(1)</w:t>
            </w:r>
          </w:p>
        </w:tc>
        <w:tc>
          <w:tcPr>
            <w:tcW w:w="13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0"/>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Ark 2021 Subordinated Notes Tranche 1</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45.3</w:t>
            </w:r>
          </w:p>
        </w:tc>
        <w:tc>
          <w:tcPr>
            <w:tcW w:w="1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Ark 2021 Subordinated Notes Tranche 2</w:t>
            </w:r>
          </w:p>
        </w:tc>
        <w:tc>
          <w:tcPr>
            <w:tcW w:w="14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47.0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Ark 2021 Subordinated Notes Tranche 3</w:t>
            </w:r>
          </w:p>
        </w:tc>
        <w:tc>
          <w:tcPr>
            <w:tcW w:w="14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70.0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Unamortized issuance cost</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Ark 2021 Subordinated Notes, carrying value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159.3</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9.7%</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159.7</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10.2%</w:t>
            </w:r>
          </w:p>
        </w:tc>
        <w:tc>
          <w:tcPr>
            <w:tcW w:w="0" w:type="dxa"/>
            <w:vAlign w:val="bottom"/>
          </w:tcPr>
          <w:p>
            <w:pPr>
              <w:spacing w:after="0"/>
              <w:rPr>
                <w:sz w:val="1"/>
                <w:szCs w:val="1"/>
                <w:color w:val="auto"/>
              </w:rPr>
            </w:pPr>
          </w:p>
        </w:tc>
      </w:tr>
      <w:tr>
        <w:trPr>
          <w:trHeight w:val="214"/>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Kudu Credit Facility</w:t>
            </w:r>
          </w:p>
        </w:tc>
        <w:tc>
          <w:tcPr>
            <w:tcW w:w="14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358.3</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358.3</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Unamortized issuance cost</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Kudu Credit Facility, carrying value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350.6</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8.0%</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350.4</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4"/>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HG Global Senior Notes</w:t>
            </w:r>
          </w:p>
        </w:tc>
        <w:tc>
          <w:tcPr>
            <w:tcW w:w="14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150.0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Unamortized discount and issuance cost</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HG Global Senior Notes, carrying value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147.9</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10.3%</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147.8</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10.8%</w:t>
            </w:r>
          </w:p>
        </w:tc>
        <w:tc>
          <w:tcPr>
            <w:tcW w:w="0" w:type="dxa"/>
            <w:vAlign w:val="bottom"/>
          </w:tcPr>
          <w:p>
            <w:pPr>
              <w:spacing w:after="0"/>
              <w:rPr>
                <w:sz w:val="1"/>
                <w:szCs w:val="1"/>
                <w:color w:val="auto"/>
              </w:rPr>
            </w:pPr>
          </w:p>
        </w:tc>
      </w:tr>
      <w:tr>
        <w:trPr>
          <w:trHeight w:val="214"/>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Distinguished Credit Facility</w:t>
            </w:r>
          </w:p>
        </w:tc>
        <w:tc>
          <w:tcPr>
            <w:tcW w:w="14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131.1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131.4</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Unamortized issuance cost</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Distinguished Credit Facility, carrying value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129.6</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9.9%</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129.9</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10.3%</w:t>
            </w:r>
          </w:p>
        </w:tc>
        <w:tc>
          <w:tcPr>
            <w:tcW w:w="0" w:type="dxa"/>
            <w:vAlign w:val="bottom"/>
          </w:tcPr>
          <w:p>
            <w:pPr>
              <w:spacing w:after="0"/>
              <w:rPr>
                <w:sz w:val="1"/>
                <w:szCs w:val="1"/>
                <w:color w:val="auto"/>
              </w:rPr>
            </w:pPr>
          </w:p>
        </w:tc>
      </w:tr>
      <w:tr>
        <w:trPr>
          <w:trHeight w:val="22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Distinguished other debt, carrying value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11.2</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10.8%</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10.9%</w:t>
            </w:r>
          </w:p>
        </w:tc>
        <w:tc>
          <w:tcPr>
            <w:tcW w:w="0" w:type="dxa"/>
            <w:vAlign w:val="bottom"/>
          </w:tcPr>
          <w:p>
            <w:pPr>
              <w:spacing w:after="0"/>
              <w:rPr>
                <w:sz w:val="1"/>
                <w:szCs w:val="1"/>
                <w:color w:val="auto"/>
              </w:rPr>
            </w:pPr>
          </w:p>
        </w:tc>
      </w:tr>
      <w:tr>
        <w:trPr>
          <w:trHeight w:val="223"/>
        </w:trPr>
        <w:tc>
          <w:tcPr>
            <w:tcW w:w="3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Distinguished debt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140.8</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Operations debt</w:t>
            </w:r>
          </w:p>
        </w:tc>
        <w:tc>
          <w:tcPr>
            <w:tcW w:w="14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36.8</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Unamortized issuance cost</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Operations debt, carrying value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36.2</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8.6%</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38.3</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834.8</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837.0</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500" w:right="20" w:hanging="145"/>
        <w:spacing w:after="0" w:line="305" w:lineRule="auto"/>
        <w:tabs>
          <w:tab w:leader="none" w:pos="494"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The effective rate includes the effect of the amortization of debt issuance costs and original issue discount but excludes the effect of the interest rate caps, where applicable. See </w:t>
      </w:r>
      <w:r>
        <w:rPr>
          <w:rFonts w:ascii="Times New Roman" w:cs="Times New Roman" w:eastAsia="Times New Roman" w:hAnsi="Times New Roman"/>
          <w:sz w:val="14"/>
          <w:szCs w:val="14"/>
          <w:b w:val="1"/>
          <w:bCs w:val="1"/>
          <w:color w:val="auto"/>
        </w:rPr>
        <w:t>Note 9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“Derivatives.”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Ark Subordinated Notes</w:t>
      </w:r>
    </w:p>
    <w:p>
      <w:pPr>
        <w:spacing w:after="0" w:line="25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In the third quarter of 2021, GAIL issued $163.3 million face value floating rate unsecured subordinated notes at par in three separate transactions for proceeds of $157.8 million, net of debt issuance costs (collectively, the “Ark 2021 Subordinated Notes”). The Ark 2021 Subordinated Notes were issued in private placement offerings that were exempt from the registration requirements of the Securities Act of 1933.</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July 13, 2021, Ark issued €39.1 million ($46.3 million based upon the foreign currency exchange spot rate as of the date of the transaction) face value floating rate unsecured subordinated notes (“Ark 2021 Subordinated Notes Tranche 1”). The Ark 2021 Subordinated Notes Tranche 1, which mature in July 2041, accrue interest at a floating rate equal to the three-month Euro Interbank Offered Rate (“EURIBOR”) plus 5.75% per annum.</w:t>
      </w:r>
    </w:p>
    <w:p>
      <w:pPr>
        <w:spacing w:after="0" w:line="1"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On August 11, 2021, Ark issued $47.0 million face value floating rate unsecured subordinated notes (“Ark 2021 Subordinated Notes Tranche 2”). The Ark 2021 Subordinated Notes Tranche 2, which mature in August 2041, accrue interest at a floating rate equal to the three-month Secured Overnight Financing Rate (“SOFR”) plus a SOFR benchmark adjustment of 0.26% and a stated margin of 5.75% per annum.</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jc w:val="both"/>
        <w:ind w:right="220"/>
        <w:spacing w:after="0" w:line="257" w:lineRule="auto"/>
        <w:rPr>
          <w:sz w:val="20"/>
          <w:szCs w:val="20"/>
          <w:color w:val="auto"/>
        </w:rPr>
      </w:pPr>
      <w:r>
        <w:rPr>
          <w:rFonts w:ascii="Times New Roman" w:cs="Times New Roman" w:eastAsia="Times New Roman" w:hAnsi="Times New Roman"/>
          <w:sz w:val="18"/>
          <w:szCs w:val="18"/>
          <w:color w:val="auto"/>
        </w:rPr>
        <w:t>On September 8, 2021, Ark issued $70.0 million face value floating rate unsecured subordinated notes (“Ark 2021 Subordinated Notes Tranche 3”). The Ark 2021 Subordinated Notes Tranche 3, which mature in September 2041, accrue interest at a floating rate equal to the three-month SOFR plus a SOFR benchmark adjustment of 0.26% and a stated margin of 6.1% per annum.</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the ten-year anniversary of the issue dates, the interest rate for the Ark 2021 Subordinated Notes will increase by 1.0% per annum. Ark has the option to redeem, in whole or in part, the Ark 2021 Subordinated Notes ahead of contractual maturity at the outstanding principal amounts plus accrued interest at the ten-year anniversary or any subsequent interest payment date.</w:t>
      </w:r>
    </w:p>
    <w:p>
      <w:pPr>
        <w:spacing w:after="0" w:line="1"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All payments of principal and interest under the Ark 2021 Subordinated Notes are conditional upon GAIL’s solvency and compliance with the enhanced capital requirements of the Bermuda Monetary Authority (“BMA”). The deferral of payments of principal and interest under these conditions does not constitute a default by Ark and does not give the noteholders any rights to accelerate repayment of the Ark 2021 Subordinated Notes or take any enforcement action under the Ark 2021 Subordinated Notes.</w:t>
      </w:r>
    </w:p>
    <w:p>
      <w:pPr>
        <w:spacing w:after="0" w:line="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If the payments of principal and interest under the Ark 2021 Subordinated Notes become subject to tax withholding on behalf of Bermuda or any political subdivision there, the Ark 2021 Subordinated Notes require the payment of additional amounts such that the amount received by the noteholders is the same as would have been received absent the tax withholding being imposed. The Ark 2021 Subordinated Notes Tranche 3 require the payment of additional interest of 1.0% per annum upon the occurrence of a premium load event until such event is remedied. Premium load events include the failure to meet payment obligations of the Ark 2021 Subordinated Notes Tranche 3 when due, failure of GAIL to maintain an investment grade credit rating, failure to maintain 120% of GAIL’s Bermuda solvency capital requirement, failure of GAIL to maintain a debt to capital ratio below 40%, late filing of GAIL’s or Ark’s financial information, and making a restricted payment or distribution on GAIL’s common stock or other securities that rank junior or pari passu with the Ark 2021 Subordinated Notes Tranche 3 when a different premium load event exists or will be caused by the restricted payment. As of March 31, 2026, there were no premium load events.</w:t>
      </w:r>
    </w:p>
    <w:p>
      <w:pPr>
        <w:spacing w:after="0" w:line="4" w:lineRule="exact"/>
        <w:rPr>
          <w:sz w:val="20"/>
          <w:szCs w:val="20"/>
          <w:color w:val="auto"/>
        </w:rPr>
      </w:pPr>
    </w:p>
    <w:p>
      <w:pPr>
        <w:jc w:val="both"/>
        <w:ind w:right="400"/>
        <w:spacing w:after="0" w:line="250" w:lineRule="auto"/>
        <w:rPr>
          <w:sz w:val="20"/>
          <w:szCs w:val="20"/>
          <w:color w:val="auto"/>
        </w:rPr>
      </w:pPr>
      <w:r>
        <w:rPr>
          <w:rFonts w:ascii="Times New Roman" w:cs="Times New Roman" w:eastAsia="Times New Roman" w:hAnsi="Times New Roman"/>
          <w:sz w:val="18"/>
          <w:szCs w:val="18"/>
          <w:color w:val="auto"/>
        </w:rPr>
        <w:t>As of March 31, 2026, the Ark 2021 Subordinated Notes Tranche 1 had an outstanding balance of €39.1 million ($45.3 million based upon the foreign exchange spot rate as of March 31, 2026), the Ark 2021 Subordinated Notes Tranche 2 had an outstanding balance of $47.0 million, and the Ark 2021 Subordinated Notes Tranche 3 had an outstanding balance of $70.0 million.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Ark Subordinated Notes contain various affirmative and negative covenants that White Mountains considers to be customary for such borrowings.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Ark Standby Letter of Credit Facilities</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December 2021, Ark entered into an uncommitted secured standby letter of credit facility agreement with Citibank Europe Plc (the “Citibank LOC Facility”), with capacity of $125.0 million on a collateralized basis. In September 2022, Ark entered into an additional uncommitted standby letter of credit facility agreement with Lloyds Bank Corporate Markets PLC (the “Lloyds LOC Facility”), with capacity of $100.0 million on a collateralized basis. As of March 31, 2026, the Citibank LOC Facility had an outstanding balance of $69.5 million and cash and investments pledged as collateral of</w:t>
      </w:r>
    </w:p>
    <w:p>
      <w:pPr>
        <w:spacing w:after="0" w:line="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$94.6 million. As of March 31, 2026, the Lloyds LOC Facility had an outstanding balance of $46.0 million and cash and investments pledged as collateral of $50.5 million. Ark’s uncommitted secured standby letter of credit facility agreements contain various representations, warranties and affirmative and negative covenants that White Mountains considers to be customary for such borrowings.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Kudu Credit Facility</w:t>
      </w:r>
    </w:p>
    <w:p>
      <w:pPr>
        <w:spacing w:after="0" w:line="25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March 23, 2021, Kudu entered into a secured revolving credit facility (the “Kudu Credit Facility”) with Mass Mutual. The Kudu Credit Facility has a total commitment of $500.0 million, an availability period through July 21, 2030 and a maturity date on July 21, 2038.</w:t>
      </w:r>
    </w:p>
    <w:p>
      <w:pPr>
        <w:ind w:right="40"/>
        <w:spacing w:after="0" w:line="250" w:lineRule="auto"/>
        <w:rPr>
          <w:sz w:val="20"/>
          <w:szCs w:val="20"/>
          <w:color w:val="auto"/>
        </w:rPr>
      </w:pPr>
      <w:r>
        <w:rPr>
          <w:rFonts w:ascii="Times New Roman" w:cs="Times New Roman" w:eastAsia="Times New Roman" w:hAnsi="Times New Roman"/>
          <w:sz w:val="18"/>
          <w:szCs w:val="18"/>
          <w:color w:val="auto"/>
        </w:rPr>
        <w:t>From July 1, 2024 through July 21, 2025, interest on the Kudu Credit Facility accrued at a floating rate equal to the three-month SOFR plus a stated margin of 4.45% per annum with no SOFR benchmark adjustment. Effective July 21, 2025, the Kudu Credit Facility accrues interest at the greater of (i) the fixed rate equal to the interpolated yield on U.S. Treasuries at the time of each future borrowing plus a stated margin of 3.10% and (ii) 7.25%. The interest rate on the $253.3 million outstanding balance as of July 21, 2025 was reduced from a then floating rate of 8.75% to a fixed rate of 7.65%.</w:t>
      </w:r>
    </w:p>
    <w:p>
      <w:pPr>
        <w:spacing w:after="0" w:line="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 xml:space="preserve">On September 17, 2024, Kudu entered into an interest rate cap agreement, effective on September 30, 2024, to limit its exposure to the risk of interest rate increases on the Kudu Credit Facility (the “Kudu Interest Rate Cap”). Under the Kudu Interest Rate Cap, the notional amount is $150.0 million, the maximum interest rate is 8.95% per annum and the termination date is September 30, 2027. See </w:t>
      </w:r>
      <w:r>
        <w:rPr>
          <w:rFonts w:ascii="Times New Roman" w:cs="Times New Roman" w:eastAsia="Times New Roman" w:hAnsi="Times New Roman"/>
          <w:sz w:val="18"/>
          <w:szCs w:val="18"/>
          <w:b w:val="1"/>
          <w:bCs w:val="1"/>
          <w:color w:val="auto"/>
        </w:rPr>
        <w:t>Note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“Derivatives.”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ind w:right="260"/>
        <w:spacing w:after="0" w:line="254" w:lineRule="auto"/>
        <w:rPr>
          <w:sz w:val="20"/>
          <w:szCs w:val="20"/>
          <w:color w:val="auto"/>
        </w:rPr>
      </w:pPr>
      <w:r>
        <w:rPr>
          <w:rFonts w:ascii="Times New Roman" w:cs="Times New Roman" w:eastAsia="Times New Roman" w:hAnsi="Times New Roman"/>
          <w:sz w:val="18"/>
          <w:szCs w:val="18"/>
          <w:color w:val="auto"/>
        </w:rPr>
        <w:t>The Kudu Credit Facility requires Kudu to maintain an interest reserve account of two times the interest accrued for the most recent quarterly interest period. As of March 31, 2026 and December 31, 2025, the interest reserve account held short-term investments of $9.7 million and $7.6 million. The Kudu Credit Facility requires Kudu to maintain a maximum loan-to-value ratio of the outstanding balance to the sum of the fair market value of Kudu’s other long-term investments and cash held in certain accounts (the “LTV Percentage”) for annual periods beginning on July 21, 2025 as follows: 40% in years 0-6, 25% in years 7-8, 15% in years 9-11 and 0% thereafter. As of March 31, 2026, Kudu had a 26.2% LTV Percentage.</w:t>
      </w:r>
    </w:p>
    <w:p>
      <w:pPr>
        <w:spacing w:after="0" w:line="3"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The Kudu Credit Facility requires Kudu to maintain a minimum debt service coverage ratio of 2.5 times for 2025 and thereafter. As of March 31, 2026, Kudu had a debt service coverage ratio of 2.9 times.</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Kudu may borrow undrawn balances until July 21, 2030, subject to customary terms and conditions, to the extent that the amount borrowed under the Kudu Credit Facility does not exceed the borrowing base, which is equal to 35% of the fair value of Kudu’s other long-term investments. The following table presents the change in debt under the Kudu Credit Facility for the three months ended March 31, 2026 and 2025:</w:t>
      </w:r>
    </w:p>
    <w:p>
      <w:pPr>
        <w:spacing w:after="0" w:line="49" w:lineRule="exact"/>
        <w:rPr>
          <w:sz w:val="20"/>
          <w:szCs w:val="20"/>
          <w:color w:val="auto"/>
        </w:rPr>
      </w:pPr>
    </w:p>
    <w:tbl>
      <w:tblPr>
        <w:tblLayout w:type="fixed"/>
        <w:tblInd w:w="2840" w:type="dxa"/>
        <w:tblCellMar>
          <w:top w:w="0" w:type="dxa"/>
          <w:left w:w="0" w:type="dxa"/>
          <w:bottom w:w="0" w:type="dxa"/>
          <w:right w:w="0" w:type="dxa"/>
        </w:tblCellMar>
      </w:tblPr>
      <w:tr>
        <w:trPr>
          <w:trHeight w:val="210"/>
        </w:trPr>
        <w:tc>
          <w:tcPr>
            <w:tcW w:w="2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Pr>
          <w:p>
            <w:pPr>
              <w:spacing w:after="0"/>
              <w:rPr>
                <w:sz w:val="17"/>
                <w:szCs w:val="17"/>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4"/>
        </w:trPr>
        <w:tc>
          <w:tcPr>
            <w:tcW w:w="2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Kudu Credit Facility</w:t>
            </w:r>
          </w:p>
        </w:tc>
        <w:tc>
          <w:tcPr>
            <w:tcW w:w="120" w:type="dxa"/>
            <w:vAlign w:val="bottom"/>
          </w:tcPr>
          <w:p>
            <w:pPr>
              <w:spacing w:after="0"/>
              <w:rPr>
                <w:sz w:val="19"/>
                <w:szCs w:val="19"/>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358.3</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0" w:type="dxa"/>
            <w:vAlign w:val="bottom"/>
          </w:tcPr>
          <w:p>
            <w:pPr>
              <w:spacing w:after="0"/>
              <w:rPr>
                <w:sz w:val="1"/>
                <w:szCs w:val="1"/>
                <w:color w:val="auto"/>
              </w:rPr>
            </w:pPr>
          </w:p>
        </w:tc>
      </w:tr>
      <w:tr>
        <w:trPr>
          <w:trHeight w:val="229"/>
        </w:trPr>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Borrowings</w:t>
            </w:r>
          </w:p>
        </w:tc>
        <w:tc>
          <w:tcPr>
            <w:tcW w:w="3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8"/>
        </w:trPr>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Repayments</w:t>
            </w:r>
          </w:p>
        </w:tc>
        <w:tc>
          <w:tcPr>
            <w:tcW w:w="3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358.3</w:t>
            </w:r>
          </w:p>
        </w:tc>
        <w:tc>
          <w:tcPr>
            <w:tcW w:w="1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0" w:type="dxa"/>
            <w:vAlign w:val="bottom"/>
          </w:tcPr>
          <w:p>
            <w:pPr>
              <w:spacing w:after="0"/>
              <w:rPr>
                <w:sz w:val="1"/>
                <w:szCs w:val="1"/>
                <w:color w:val="auto"/>
              </w:rPr>
            </w:pPr>
          </w:p>
        </w:tc>
      </w:tr>
      <w:tr>
        <w:trPr>
          <w:trHeight w:val="21"/>
        </w:trPr>
        <w:tc>
          <w:tcPr>
            <w:tcW w:w="2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Kudu Credit Facility is secured by all property of the loan parties and contains various representations, warranties and affirmative and negative covenants that White Mountains considers to be customary for such borrowings.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HG Global Senior Notes</w:t>
      </w:r>
    </w:p>
    <w:p>
      <w:pPr>
        <w:spacing w:after="0" w:line="2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April 29, 2022, HG Global received the proceeds from the issuance of its $150.0 million face value floating rate secured senior notes (the “HG Global Senior Notes”). The HG Global Senior Notes, which mature in April 2032, accrue interest at a floating rate equal to the three-month SOFR plus a SOFR benchmark adjustment of 0.26% and a stated margin of 6.0% per annum. Subsequent to the five-year anniversary of the funding date, absent the occurrence of an early amortization trigger event, HG Global will be required to make payments of principal on a quarterly basis totaling $15.0 million annually. Upon the occurrence of an early amortization trigger event, HG Global is required to use all available cash flow to repay the notes. Early amortization trigger events include scenarios in which HG Re is effectively in runoff. HG Global has the option to redeem, in whole or in part, the HG Global Senior Notes after the five-year anniversary of the funding date at the outstanding principal amount plus accrued interest.</w:t>
      </w:r>
    </w:p>
    <w:p>
      <w:pPr>
        <w:spacing w:after="0" w:line="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 xml:space="preserve">On June 16, 2022, HG Global entered into an interest rate cap agreement, effective on July 25, 2022, to limit its exposure to the risk of interest rate increases on the HG Global Senior Notes (the “HG Global 2022 Interest Rate Cap”). Under the HG Global 2022 Interest Rate Cap, the notional amount is $150.0 million, the maximum interest rate is 9.76% per annum and the termination date is July 25, 2025. On August 22, 2024, HG Global entered into a new interest rate cap agreement, effective upon the termination of the prior interest rate cap (the “HG Global 2024 Interest Rate Cap”). Under the HG Global 2024 Interest Rate Cap, the initial notional amount is $150.0 million, the maximum interest rate is 10.76% per annum and the termination date is July 25, 2028. See </w:t>
      </w:r>
      <w:r>
        <w:rPr>
          <w:rFonts w:ascii="Times New Roman" w:cs="Times New Roman" w:eastAsia="Times New Roman" w:hAnsi="Times New Roman"/>
          <w:sz w:val="18"/>
          <w:szCs w:val="18"/>
          <w:b w:val="1"/>
          <w:bCs w:val="1"/>
          <w:color w:val="auto"/>
        </w:rPr>
        <w:t>Note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“Derivatives.”</w:t>
      </w:r>
    </w:p>
    <w:p>
      <w:pPr>
        <w:spacing w:after="0" w:line="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HG Global Senior Notes require HG Global to maintain an interest reserve account of eight times the interest accrued for the most recent quarterly interest period. As of March 31, 2026 and December 31, 2025, the interest reserve account held short-term investments of $30.0 million and $30.4 million. The HG Global Senior Notes are secured by the capital stock and other equity interests of HG Global’s subsidiaries, the interest reserve account and all cash and non-cash proceeds from such collateral. The HG Global Senior Notes contain various affirmative and negative covenants that White Mountains considers to be customary for such borrowings.</w:t>
      </w:r>
    </w:p>
    <w:p>
      <w:pPr>
        <w:spacing w:after="0" w:line="2"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If the payment of principal and interest under the HG Global Senior Notes becomes subject to tax withholding on behalf of a relevant governmental authority for certain indemnified taxes, the HG Global Senior Notes require the payment of additional amounts such that the amount received by the noteholders is the same as would have been received absent the tax withholding being imposed. The HG Global Senior Notes require the payment of additional interest of 1.0% per annum if the HG Global Senior Notes receive a non-investment grade rating or are no longer rated. As of March 31, 2026, the HG Global Senior Notes had an investment grade rating.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HG Global Senior Notes had an outstanding balance of $150.0 million.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Distinguished Credit Facility</w:t>
      </w:r>
    </w:p>
    <w:p>
      <w:pPr>
        <w:spacing w:after="0" w:line="24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July 4, 2025, Distinguished entered into an amended credit facility (the “Distinguished Credit Facility”). The amendment waived certain change of control prepayment provisions and provided $50.0 million of incremental term loan principal for purposes of consummating the Distinguished Transaction. The $50.0 million of incremental term loan principal was subsequently drawn on September 2, 2025 in connection with the closing of the Distinguished Transaction. The Distinguished Credit Facility is comprised of a term loan of $141.0 million, a delayed-draw term loan of $40.0 million and a revolving credit loan commitment of $15.0 million. The Distinguished Credit Facility matures on October 10, 2029. Distinguished was required to make payments of principal on a quarterly basis totaling $0.4 million for 2025, increasing to $1.4 million annually thereafter. On an annual basis, Distinguished may also be required to use a percentage of excess cash flows to repay outstanding principal plus accrued interest if Distinguished’s total leverage ratio, calculated as total indebtedness less unrestricted cash over bank adjusted EBITDA, rises above 3.75 times. To date, no repayments have been required under this provision. The next annual determination will occur in the second quarter of 2026. Distinguished has the option to prepay, in whole or in part, the Distinguished Credit Facility at the outstanding principal plus accrued interest. The delayed draw term loan may be drawn on or before October 10, 2026. As of March 31, 2026, the revolving credit and delayed draw term loans were undrawn.</w:t>
      </w:r>
    </w:p>
    <w:p>
      <w:pPr>
        <w:spacing w:after="0" w:line="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Interest on the Distinguished Credit Facility accrues at a floating rate equal to the three-month SOFR plus a stated margin ranging from 5.25% to 5.5% per annum based on Distinguished’s total leverage ratio. As of March 31, 2026, the stated margin was 5.5%.</w:t>
      </w:r>
    </w:p>
    <w:p>
      <w:pPr>
        <w:spacing w:after="0" w:line="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 xml:space="preserve">On September 16, 2025, Distinguished entered into an interest rate cap agreement to limit its exposure to the risk of interest rate increases on the Distinguished Credit Facility (the “Distinguished Interest Rate Cap”). Under the Distinguished Interest Rate Cap, the notional amount is $70.0 million, the maximum interest rate is 10.5% per annum and the termination date is September 16, 2028. See </w:t>
      </w:r>
      <w:r>
        <w:rPr>
          <w:rFonts w:ascii="Times New Roman" w:cs="Times New Roman" w:eastAsia="Times New Roman" w:hAnsi="Times New Roman"/>
          <w:sz w:val="18"/>
          <w:szCs w:val="18"/>
          <w:b w:val="1"/>
          <w:bCs w:val="1"/>
          <w:color w:val="auto"/>
        </w:rPr>
        <w:t>Note 9 — “Derivatives.”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 in debt under the Distinguished Credit Facility for the three months ended March 31, 2026:</w:t>
      </w:r>
    </w:p>
    <w:p>
      <w:pPr>
        <w:spacing w:after="0" w:line="70" w:lineRule="exact"/>
        <w:rPr>
          <w:sz w:val="20"/>
          <w:szCs w:val="20"/>
          <w:color w:val="auto"/>
        </w:rPr>
      </w:pPr>
    </w:p>
    <w:tbl>
      <w:tblPr>
        <w:tblLayout w:type="fixed"/>
        <w:tblInd w:w="3120" w:type="dxa"/>
        <w:tblCellMar>
          <w:top w:w="0" w:type="dxa"/>
          <w:left w:w="0" w:type="dxa"/>
          <w:bottom w:w="0" w:type="dxa"/>
          <w:right w:w="0" w:type="dxa"/>
        </w:tblCellMar>
      </w:tblPr>
      <w:tr>
        <w:trPr>
          <w:trHeight w:val="151"/>
        </w:trPr>
        <w:tc>
          <w:tcPr>
            <w:tcW w:w="30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jc w:val="right"/>
              <w:ind w:right="236"/>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3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223"/>
        </w:trPr>
        <w:tc>
          <w:tcPr>
            <w:tcW w:w="2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Distinguished Credit Facility</w:t>
            </w:r>
          </w:p>
        </w:tc>
        <w:tc>
          <w:tcPr>
            <w:tcW w:w="120" w:type="dxa"/>
            <w:vAlign w:val="bottom"/>
          </w:tcPr>
          <w:p>
            <w:pPr>
              <w:spacing w:after="0"/>
              <w:rPr>
                <w:sz w:val="19"/>
                <w:szCs w:val="19"/>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131.4</w:t>
            </w:r>
          </w:p>
        </w:tc>
        <w:tc>
          <w:tcPr>
            <w:tcW w:w="0" w:type="dxa"/>
            <w:vAlign w:val="bottom"/>
          </w:tcPr>
          <w:p>
            <w:pPr>
              <w:spacing w:after="0"/>
              <w:rPr>
                <w:sz w:val="1"/>
                <w:szCs w:val="1"/>
                <w:color w:val="auto"/>
              </w:rPr>
            </w:pPr>
          </w:p>
        </w:tc>
      </w:tr>
      <w:tr>
        <w:trPr>
          <w:trHeight w:val="225"/>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vMerge w:val="continue"/>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Borrowings</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3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Repayments</w:t>
            </w: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131.1</w:t>
            </w:r>
          </w:p>
        </w:tc>
        <w:tc>
          <w:tcPr>
            <w:tcW w:w="0" w:type="dxa"/>
            <w:vAlign w:val="bottom"/>
          </w:tcPr>
          <w:p>
            <w:pPr>
              <w:spacing w:after="0"/>
              <w:rPr>
                <w:sz w:val="1"/>
                <w:szCs w:val="1"/>
                <w:color w:val="auto"/>
              </w:rPr>
            </w:pP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Distinguished Credit Facility is secured by all property of the loan parties and contains various representations, warranties and affirmative and negative covenants that White Mountains considers to be customary for such borrowings, including a maximum total leverage ratio of 5.5 times. As of March 31, 2026, Distinguished’s total leverage ratio was 4.9 times.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Operations Debt</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March 31, 2026, White Mountains’s Other Operations had debt with an outstanding balance of $36.8 million, which consisted of five secured credit facilities (collectively, “Other Operations debt”).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WTM Credit Facility</w:t>
      </w:r>
    </w:p>
    <w:p>
      <w:pPr>
        <w:spacing w:after="0" w:line="2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On July 16, 2025, the Company entered into a credit agreement, which established a senior unsecured revolving credit facility of up to $250.0 million that matures on July 16, 2028 (the “WTM Credit Facility”). As of March 31, 2026, the WTM Credit Facility is undrawn. White Mountains may borrow undrawn balances until July 16, 2028, subject to customary terms and conditions, including key covenants tied to White Mountains’s minimum net worth and debt to total capital ratio. Interest on any future borrowings under the WTM Credit Facility will accrue at a floating rate generally equal to the SOFR term rate plus a stated margin ranging from 1.1% to 1.5% per annum.</w:t>
      </w:r>
    </w:p>
    <w:p>
      <w:pPr>
        <w:spacing w:after="0" w:line="2" w:lineRule="exact"/>
        <w:rPr>
          <w:sz w:val="20"/>
          <w:szCs w:val="20"/>
          <w:color w:val="auto"/>
        </w:rPr>
      </w:pPr>
    </w:p>
    <w:p>
      <w:pPr>
        <w:ind w:right="560"/>
        <w:spacing w:after="0" w:line="260" w:lineRule="auto"/>
        <w:rPr>
          <w:sz w:val="20"/>
          <w:szCs w:val="20"/>
          <w:color w:val="auto"/>
        </w:rPr>
      </w:pPr>
      <w:r>
        <w:rPr>
          <w:rFonts w:ascii="Times New Roman" w:cs="Times New Roman" w:eastAsia="Times New Roman" w:hAnsi="Times New Roman"/>
          <w:sz w:val="18"/>
          <w:szCs w:val="18"/>
          <w:color w:val="auto"/>
        </w:rPr>
        <w:t>The WTM Credit Facility contains various representations, warranties and affirmative and negative covenants that White Mountains considers to be customary for such borrowings.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White Mountains was in compliance, in all material respects, with all of the covenants under its debt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Income Taxes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has subsidiaries and branches that operate in various jurisdictions around the world and are subject to tax in the jurisdictions in which they operate.</w:t>
      </w:r>
    </w:p>
    <w:p>
      <w:pPr>
        <w:ind w:right="340"/>
        <w:spacing w:after="0" w:line="250" w:lineRule="auto"/>
        <w:rPr>
          <w:sz w:val="20"/>
          <w:szCs w:val="20"/>
          <w:color w:val="auto"/>
        </w:rPr>
      </w:pPr>
      <w:r>
        <w:rPr>
          <w:rFonts w:ascii="Times New Roman" w:cs="Times New Roman" w:eastAsia="Times New Roman" w:hAnsi="Times New Roman"/>
          <w:sz w:val="18"/>
          <w:szCs w:val="18"/>
          <w:color w:val="auto"/>
        </w:rPr>
        <w:t>As of March 31, 2026, the primary jurisdictions in which the Company’s subsidiaries and branches operated and were subject to tax include the United States, the United Kingdom, Luxembourg and Israel.</w:t>
      </w:r>
    </w:p>
    <w:p>
      <w:pPr>
        <w:spacing w:after="0" w:line="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Certain of the Company’s subsidiaries are subject to the global minimum tax regime of the Organization for Economic Cooperation and Development (“OECD”) Pillar Two initiative, as enacted by Luxembourg, the United Kingdom and Israel in their respective domestic laws. The Pillar Two initiative includes a set of model rules that are generally designed to impose a top-up tax on a large multinational enterprise group to the extent that the group is not subject to an effective tax rate of at least 15% in each jurisdiction in which the group has a consolidated affiliate or permanent establishment.</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 and its Bermuda-domiciled subsidiaries were not subject to income tax in Bermuda in 2025 and prior years. On December 27, 2023, Bermuda enacted a 15% corporate income tax that became effective on January 1, 2025. The Bermuda tax legislation defers the effective date for five years for Bermuda companies in consolidated groups that meet certain requirements. White Mountains expects to meet the requirements to be exempt from the Bermuda corporate income tax until January 1, 2030.</w:t>
      </w:r>
    </w:p>
    <w:p>
      <w:pPr>
        <w:spacing w:after="0" w:line="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Bermuda tax legislation also provides for an optional economic transition adjustment that can decrease or increase future years’ taxable income. Under GAAP, this economic transition adjustment was required to be recognized as a deferred tax asset or liability as of December 31, 2023 if a company intended to apply the adjustment to compute its taxable income. Accordingly, White Mountains recorded a net deferred tax asset of $68.0 million in 2023, of which $51.0 million was attributable to Ark and $17.0 million was attributable to HG Global. As of July 1, 2024, White Mountains no longer consolidates BAM. As a result of the deconsolidation of BAM, the BAM Surplus Notes were recorded at fair value, which resulted in the reversal of a $5.0 million deferred tax liability related to the economic transition adjustment, generating a $5.0 million deferred tax benefit in 2024. On December 11, 2025, Bermuda enacted legislation that changed the scope of assets and liabilities subject to the economic transition adjustment. This legislation resulted in the reversal of a $5.1 million deferred tax liability related to the economic transition adjustment, generating a $5.1 million deferred tax benefit in 2025.</w:t>
      </w:r>
    </w:p>
    <w:p>
      <w:pPr>
        <w:spacing w:after="0" w:line="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As a result of legislation enacted by Luxembourg on December 17, 2025 and the United Kingdom on March 18, 2026, White Mountains expects to incur a top-up tax under the Luxembourg and United Kingdom Undertaxed Profits Rule (“UTPR”) equal to the amount of the deferred tax benefit for the year associated with the Bermuda economic transition adjustment. Consequently, White Mountains expects to derive no economic benefit from the economic transition adjustment and intends to opt out of the economic transition adjustment upon becoming subject to Bermuda corporate income tax. Accordingly, White Mountains recognized a deferred tax expense of $78.1 million in 2025 to reverse the net deferred tax asset related to the Bermuda economic transition adjustment.</w:t>
      </w:r>
    </w:p>
    <w:p>
      <w:pPr>
        <w:spacing w:after="0" w:line="2"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White Mountains’s income tax expense related to pre-tax loss from continuing operations for the three months ended March 31, 2026, represented an effective tax rate of (3.1)%. The effective tax rate was different from the U.S. statutory rate of 21.0%, driven primarily by full year forecasted income in jurisdictions with lower tax rates than the United States and full valuation allowances on deferred tax assets at certain U.S. operations.</w:t>
      </w:r>
    </w:p>
    <w:p>
      <w:pPr>
        <w:spacing w:after="0" w:line="1" w:lineRule="exact"/>
        <w:rPr>
          <w:sz w:val="20"/>
          <w:szCs w:val="20"/>
          <w:color w:val="auto"/>
        </w:rPr>
      </w:pPr>
    </w:p>
    <w:p>
      <w:pPr>
        <w:jc w:val="both"/>
        <w:ind w:right="220"/>
        <w:spacing w:after="0" w:line="250" w:lineRule="auto"/>
        <w:rPr>
          <w:sz w:val="20"/>
          <w:szCs w:val="20"/>
          <w:color w:val="auto"/>
        </w:rPr>
      </w:pPr>
      <w:r>
        <w:rPr>
          <w:rFonts w:ascii="Times New Roman" w:cs="Times New Roman" w:eastAsia="Times New Roman" w:hAnsi="Times New Roman"/>
          <w:sz w:val="18"/>
          <w:szCs w:val="18"/>
          <w:color w:val="auto"/>
        </w:rPr>
        <w:t>White Mountains’s income tax expense related to pre-tax income from continuing operations for the three months ended March 31, 2025, represented an effective tax rate of 13.3%. The effective tax rate was different from the U.S. statutory rate of 21.0%, driven primarily by full year forecasted income in jurisdictions with lower tax rates than the United States.</w:t>
      </w:r>
    </w:p>
    <w:p>
      <w:pPr>
        <w:spacing w:after="0" w:line="1" w:lineRule="exact"/>
        <w:rPr>
          <w:sz w:val="20"/>
          <w:szCs w:val="20"/>
          <w:color w:val="auto"/>
        </w:rPr>
      </w:pPr>
    </w:p>
    <w:p>
      <w:pPr>
        <w:ind w:right="540"/>
        <w:spacing w:after="0" w:line="250" w:lineRule="auto"/>
        <w:rPr>
          <w:sz w:val="20"/>
          <w:szCs w:val="20"/>
          <w:color w:val="auto"/>
        </w:rPr>
      </w:pPr>
      <w:r>
        <w:rPr>
          <w:rFonts w:ascii="Times New Roman" w:cs="Times New Roman" w:eastAsia="Times New Roman" w:hAnsi="Times New Roman"/>
          <w:sz w:val="18"/>
          <w:szCs w:val="18"/>
          <w:color w:val="auto"/>
        </w:rPr>
        <w:t>In arriving at the effective tax rate for the three months ended March 31, 2026 and 2025, White Mountains forecasted all income and expense items, including the change in net realized and unrealized investment gains (losses), for the years ending December 31, 2026 and 2025.</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White Mountains records a valuation allowance against deferred tax assets if it becomes more likely than not that all or a portion of a deferred tax asset will not be realized. Changes in valuation allowances from period to period are included in income tax expense in the period of change. In determining whether or not a valuation allowance, or change therein, is warranted, White Mountains considers factors such as prior earnings history, expected future earnings, carryback and carryforward periods and strategies that if executed would result in the realization of a deferred tax asset. It is possible that certain planning strategies or projected earnings in certain subsidiaries may not be sufficient to utilize the entire deferred tax asset, which could result in changes to White Mountains’s deferred tax assets and tax expense.</w:t>
      </w:r>
    </w:p>
    <w:p>
      <w:pPr>
        <w:spacing w:after="0" w:line="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With few exceptions, White Mountains is no longer subject to U.S. federal, state or non-U.S. income tax examinations by tax authorities for years before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Derivatives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Kudu Interest Rate Cap</w:t>
      </w:r>
    </w:p>
    <w:p>
      <w:pPr>
        <w:spacing w:after="0" w:line="256" w:lineRule="exact"/>
        <w:rPr>
          <w:sz w:val="20"/>
          <w:szCs w:val="20"/>
          <w:color w:val="auto"/>
        </w:rPr>
      </w:pPr>
    </w:p>
    <w:p>
      <w:pPr>
        <w:jc w:val="both"/>
        <w:ind w:right="300"/>
        <w:spacing w:after="0" w:line="257" w:lineRule="auto"/>
        <w:rPr>
          <w:sz w:val="20"/>
          <w:szCs w:val="20"/>
          <w:color w:val="auto"/>
        </w:rPr>
      </w:pPr>
      <w:r>
        <w:rPr>
          <w:rFonts w:ascii="Times New Roman" w:cs="Times New Roman" w:eastAsia="Times New Roman" w:hAnsi="Times New Roman"/>
          <w:sz w:val="18"/>
          <w:szCs w:val="18"/>
          <w:color w:val="auto"/>
        </w:rPr>
        <w:t>On September 17, 2024, Kudu entered into the Kudu Interest Rate Cap, effective on September 30, 2024, to limit its exposure to the risk of interest rate increases on the Kudu Credit Facility. The notional amount of the Kudu Interest Rate Cap is $150.0 million, and the termination date is September 30, 2027. Kudu paid an initial premium of $0.9 million for the Kudu Interest Rate Cap.</w:t>
      </w:r>
    </w:p>
    <w:p>
      <w:pPr>
        <w:spacing w:after="0" w:line="1"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Under the Kudu Interest Rate Cap, if the three-month SOFR on a quarterly determination date exceeds 4.5%, Kudu will receive a payment from the counterparty for the difference on the subsequent settlement date. As of March 31, 2026, the three-month SOFR was 3.7%. For the three months ended March 31, 2026 and 2025, Kudu did not receive any payments related to the periodic settlement of the Kudu Interest Rate Cap.</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Kudu accounts for the Kudu Interest Rate Cap as a derivative at fair value within other assets, with changes in fair value recognized in current period earnings within interest expense. For the three months ended March 31, 2026 and 2025, Kudu recognized a net unrealized gain of $0.2 million and a net unrealized loss of $0.5 million related to the change in fair value on the Kudu Interest Rate Cap within interest expense. As of March 31, 2026 and December 31, 2025, the fair value of the Kudu Interest Rate Cap was $0.2 million and $0.0 million. White Mountains classifies the Kudu Interest Rate Cap as a Level 2 measurement.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HG Global Interest Rate Caps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HG Global entered into two interest rate cap agreements to limit its exposure to the risk of interest rate increases on the HG Global Senior Notes.</w:t>
      </w:r>
    </w:p>
    <w:p>
      <w:pPr>
        <w:spacing w:after="0" w:line="2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On June 16, 2022, HG Global entered into the HG Global 2022 Interest Rate Cap, effective on July 25, 2022. The notional amount of the HG Global 2022 Interest Rate Cap was $150.0 million, and the termination date was July 25, 2025. HG Global paid an initial premium of $3.3 million for the HG Global 2022 Interest Rate Cap.</w:t>
      </w:r>
    </w:p>
    <w:p>
      <w:pPr>
        <w:spacing w:after="0" w:line="1"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On August 22, 2024, HG Global entered into the HG Global 2024 Interest Rate Cap, which became effective upon the termination of the HG Global 2022 Interest Rate Cap on July 25, 2025. The initial notional amount of the HG Global 2024 Interest Rate Cap is $150.0 million, and the termination date is July 25, 2028. For interest periods after April 26, 2027, the notional amount of the HG Global 2024 Interest Rate Cap will decrease as the outstanding principal of the HG Global Senior Notes is paid down. HG Global paid an initial premium of $1.3 million for the HG Global 2024 Interest Rate Cap.</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Under the HG Global 2022 Interest Rate Cap, if the three-month SOFR on a quarterly determination date exceeded 3.5% through July 25, 2025, HG Global received a payment from the counterparty for the difference on the subsequent settlement date. For the three months ended March 31, 2025, HG Global received a payment of $0.5 million related to the periodic settlement of the HG Global 2022 Interest Rate Cap.</w:t>
      </w:r>
    </w:p>
    <w:p>
      <w:pPr>
        <w:spacing w:after="0" w:line="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Under the HG Global 2024 Interest Rate Cap, if the three-month SOFR on a quarterly determination date exceeds 4.5% between July 25, 2025 and July 25, 2028, HG Global will receive a payment from the counterparty for the difference on the subsequent settlement date. As of March 31, 2026, the three-month SOFR was 3.7%. For the three months ended March 31, 2026, HG Global did not receive any payments related to the periodic settlement of the HG Global 2024 Interest Rate Cap.</w:t>
      </w:r>
    </w:p>
    <w:p>
      <w:pPr>
        <w:spacing w:after="0" w:line="2"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HG Global accounts for the HG Global Interest Rate Caps as derivatives at fair value within other assets, with changes in fair value recognized in current period earnings within interest expense.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HG Global recognized a net unrealized gain of $0.2 million related to the change in fair value of the HG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2024 Interest Rate Cap within interest expense. For the three months ended March 31, 2025, HG Global recognized a net unrealized loss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million related to the change in fair value of both interest rate caps within interest expense. As of March 31, 2026 and December 31, 2025, the fair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the HG Global 2024 Interest Rate Cap was $0.4 million and $0.2 million. White Mountains classifies the HG Global Interest Rate Caps as Level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Distinguished Interest Rate Cap</w:t>
      </w:r>
    </w:p>
    <w:p>
      <w:pPr>
        <w:spacing w:after="0" w:line="25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On September 16, 2025, Distinguished entered into the Distinguished Interest Rate Cap to limit its exposure to the risk of interest rate increases on the Distinguished Credit Facility. The notional amount of the Distinguished Interest Rate Cap is $70.0 million, and the termination date is September 16, 2028. Distinguished paid an initial premium of $0.2 million for the Distinguished Interest Rate Cap.</w:t>
      </w:r>
    </w:p>
    <w:p>
      <w:pPr>
        <w:spacing w:after="0" w:line="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Under the Distinguished Interest Rate Cap, if the one-month SOFR on a monthly determination date exceeds 5.0%, Distinguished will receive a payment from the counterparty for the difference on the subsequent settlement date. As of March 31, 2026, the one-month SOFR was 3.7%.</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5" w:name="page36"/>
    <w:bookmarkEnd w:id="35"/>
    <w:p>
      <w:pPr>
        <w:ind w:right="260"/>
        <w:spacing w:after="0" w:line="261" w:lineRule="auto"/>
        <w:rPr>
          <w:sz w:val="20"/>
          <w:szCs w:val="20"/>
          <w:color w:val="auto"/>
        </w:rPr>
      </w:pPr>
      <w:r>
        <w:rPr>
          <w:rFonts w:ascii="Times New Roman" w:cs="Times New Roman" w:eastAsia="Times New Roman" w:hAnsi="Times New Roman"/>
          <w:sz w:val="18"/>
          <w:szCs w:val="18"/>
          <w:color w:val="auto"/>
        </w:rPr>
        <w:t>Distinguished accounts for the Distinguished Interest Rate Cap as a derivative at fair value within other assets, with changes in fair value recognized in current period earnings within interest expense. For the three months ended March 31, 2026, Distinguished recognized no change in fair value on the Distinguished Interest Rate Cap within interest expense. As of March 31, 2026 and December 31, 2025, the fair value of the Distinguished Interest Rate Cap was $0.1 million and $0.1 million. White Mountains classifies the Distinguished Interest Rate Cap as a Level 2 measurement.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Municipal Bond Guarantee Reinsurance</w:t>
      </w:r>
    </w:p>
    <w:p>
      <w:pPr>
        <w:spacing w:after="0" w:line="2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HG Global was established to fund the startup of BAM, a mutual municipal bond insurer. HG Global, together with its subsidiaries, provided the initial capitalization of BAM through the purchase of $503.0 million of the BAM Surplus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 Treaties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FLRT</w:t>
      </w:r>
    </w:p>
    <w:p>
      <w:pPr>
        <w:spacing w:after="0" w:line="3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HG Re is a party to the FLRT with BAM, under which HG Re provides first-loss reinsurance protection of up to 15%-of-par outstanding for each policy assumed from BAM. For capital appreciation bonds, par is adjusted to the estimated equivalent par value for current interest paying bonds. HG Re is only required to provide reinsurance on policies that fall within the FLRT underwriting guidelines agreed upon by HG Re.</w:t>
      </w:r>
    </w:p>
    <w:p>
      <w:pPr>
        <w:spacing w:after="0" w:line="1"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BAM charges an insurance premium on each municipal bond insurance policy it underwrites. Historically, approximately 55% of the total insurance premium charged by BAM has been a member surplus contribution, and the remainder is a risk premium. In return for the reinsurance provided, HG Re receives approximately 60% of the risk premium charged, which is net of a ceding commission.</w:t>
      </w:r>
    </w:p>
    <w:p>
      <w:pPr>
        <w:spacing w:after="0" w:line="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FLRT is a perpetual agreement with terms that can be renegotiated every five years. For the next renegotiation period, either party may provide notice during 2028 to trigger a renegotiation that would take effect on January 1, 2030.</w:t>
      </w:r>
    </w:p>
    <w:p>
      <w:pPr>
        <w:spacing w:after="0" w:line="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For the three months ended March 31, 2026 and 2025, HG Re recognized gross written premiums of $8.3 million and $6.7 million and earned premiums of $7.7 million and $8.2 million.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XOLT</w:t>
      </w:r>
    </w:p>
    <w:p>
      <w:pPr>
        <w:spacing w:after="0" w:line="3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HG Re is party to an excess of loss reinsurance agreement (the “XOLT”) with BAM, under which HG Re provides last-dollar protection for exposures on municipal bonds insured by BAM in excess of the New York State Department of Financial Services (“NYDFS”) single issuer limits. As of March 31, 2026, the XOLT is subject to an aggregate limit equal to the lesser of $125.0 million or the assets held in the supplemental collateral trust (the “Supplemental Trust”) at any point in time. The XOLT is accounted for using deposit accounting, as the agreement does not meet the risk transfer requirements necessary to be accounted for as reinsurance. Accordingly, any financing revenues related to the XOLT are recorded in other revenues. For the three months ended March 31, 2026 and 2025, other revenues recognized by HG Re related to the XOLT were insignificant.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Collateral Trusts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HG Re’s obligations under the FLRT are subject to an aggregate limit equal to the assets in two collateral trusts, the Supplemental Trust and the Regulation 114 Trust (together, the “Collateral Trusts”), at any point in time.</w:t>
      </w:r>
    </w:p>
    <w:p>
      <w:pPr>
        <w:spacing w:after="0" w:line="250" w:lineRule="auto"/>
        <w:rPr>
          <w:sz w:val="20"/>
          <w:szCs w:val="20"/>
          <w:color w:val="auto"/>
        </w:rPr>
      </w:pPr>
      <w:r>
        <w:rPr>
          <w:rFonts w:ascii="Times New Roman" w:cs="Times New Roman" w:eastAsia="Times New Roman" w:hAnsi="Times New Roman"/>
          <w:sz w:val="18"/>
          <w:szCs w:val="18"/>
          <w:color w:val="auto"/>
        </w:rPr>
        <w:t>On a monthly basis, BAM deposits cash equal to ceded premiums net of ceding commissions, due to HG Re under the FLRT directly into the Regulation 114 Trust. The Regulation 114 Trust target balance is equal to HG Re’s unearned premiums and unpaid loss and LAE reserves, if any. If, at the end of any quarter, the Regulation 114 Trust balance is below the target balance, funds will be withdrawn from the Supplemental Trust and deposited into the Regulation 114 Trust in an amount equal to the shortfall. If, at the end of any quarter, the Regulation 114 Trust balance is above 102% of the target balance, funds will be withdrawn from the Regulation 114 Trust and deposited into the Supplemental Trust. The Regulation 114 Trust balance as of March 31, 2026 and December 31, 2025 was $405.8 million and $399.4 million, which consisted of cash, investments and accrued investment income.</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Supplemental Trust target balance is $603.0 million, less the amount of cash and securities in the Regulation 114 Trust in excess of its target balance (the “Supplemental Trust Target Balance”). If, at the end of any quarter, the Supplemental Trust balance exceeds the Supplemental Trust Target Balance, such excess may be distributed to HG Re. The distribution will be made first as an assignment of accrued interest on the BAM Surplus Notes and second in cash and/or fixed income securities. For the three months ended March 31, 2026, HG Re received a distribution from the Supplemental Trust of</w:t>
      </w:r>
    </w:p>
    <w:p>
      <w:pPr>
        <w:spacing w:after="0" w:line="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$15.0 million, which consisted of an assignment of $7.1 million of accrued interest on the BAM Surplus Notes and a cash distribution of $7.9 million. For the three months ended March 31, 2025, HG Re did not receive any distributions from the Supplemental Trust.</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6" w:name="page37"/>
    <w:bookmarkEnd w:id="36"/>
    <w:p>
      <w:pPr>
        <w:ind w:left="420"/>
        <w:spacing w:after="0"/>
        <w:rPr>
          <w:sz w:val="20"/>
          <w:szCs w:val="20"/>
          <w:color w:val="auto"/>
        </w:rPr>
      </w:pPr>
      <w:r>
        <w:rPr>
          <w:rFonts w:ascii="Times New Roman" w:cs="Times New Roman" w:eastAsia="Times New Roman" w:hAnsi="Times New Roman"/>
          <w:sz w:val="18"/>
          <w:szCs w:val="18"/>
          <w:color w:val="auto"/>
        </w:rPr>
        <w:t>As the BAM Surplus Notes are repaid over time, the BAM Surplus Notes will be replaced in the Supplemental Trust by cash and fixed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The Supplemental Trust balance as of March 31, 2026 and December 31, 2025 was $603.1 million and $607.1 million, which included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$319.4 million and $323.3 million of cash, investments and accrued investment income, $276.8 million and $276.8 million of BAM Surplus Notes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nominal value and $6.9 million and $7.0 million of accrued interest receivable on the BAM Surplus Notes at nominal value.</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2026 and December 31, 2025, the Collateral Trusts held total assets of $1,008.9 million and $1,006.5 million.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BAM Surplus Notes</w:t>
      </w:r>
    </w:p>
    <w:p>
      <w:pPr>
        <w:spacing w:after="0" w:line="25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Through June 30, 2024, the interest rate on the BAM Surplus Notes was a variable rate equal to the one-year U.S. Treasury rate plus 300 basis points, set annually, with each payment applied pro rata between outstanding principal and interest. Accordingly, in 2024, the interest rate on the BAM Surplus Notes was 8.2% through June 30, 2024. Effective July 1, 2024 and through maturity, HG Global and BAM amended the interest rate on the BAM Surplus Notes to be 10.0%, with a higher proportion of each payment to be applied to outstanding principal.</w:t>
      </w:r>
    </w:p>
    <w:p>
      <w:pPr>
        <w:spacing w:after="0" w:line="3" w:lineRule="exact"/>
        <w:rPr>
          <w:sz w:val="20"/>
          <w:szCs w:val="20"/>
          <w:color w:val="auto"/>
        </w:rPr>
      </w:pPr>
    </w:p>
    <w:p>
      <w:pPr>
        <w:jc w:val="both"/>
        <w:ind w:right="100" w:firstLine="405"/>
        <w:spacing w:after="0" w:line="250" w:lineRule="auto"/>
        <w:rPr>
          <w:sz w:val="20"/>
          <w:szCs w:val="20"/>
          <w:color w:val="auto"/>
        </w:rPr>
      </w:pPr>
      <w:r>
        <w:rPr>
          <w:rFonts w:ascii="Times New Roman" w:cs="Times New Roman" w:eastAsia="Times New Roman" w:hAnsi="Times New Roman"/>
          <w:sz w:val="18"/>
          <w:szCs w:val="18"/>
          <w:color w:val="auto"/>
        </w:rPr>
        <w:t>Under its agreements with HG Global, BAM is required to seek regulatory approval to pay principal and interest on the BAM Surplus Notes only to the extent that its remaining qualified statutory capital and other capital resources continue to support its outstanding obligations, its business plan and its “AA/stable” rating from Standard &amp; Poor’s. No payment of principal or interest on the BAM Surplus Notes may be made without the approval of the NYDFS.</w:t>
      </w:r>
    </w:p>
    <w:p>
      <w:pPr>
        <w:spacing w:after="0" w:line="2" w:lineRule="exact"/>
        <w:rPr>
          <w:sz w:val="20"/>
          <w:szCs w:val="20"/>
          <w:color w:val="auto"/>
        </w:rPr>
      </w:pPr>
    </w:p>
    <w:p>
      <w:pPr>
        <w:ind w:right="220" w:firstLine="405"/>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2026 and March 31, 2025, HG Global did not receive any payments of principal or interest on the BAM Surplus Notes.</w:t>
      </w:r>
    </w:p>
    <w:p>
      <w:pPr>
        <w:spacing w:after="0" w:line="1" w:lineRule="exact"/>
        <w:rPr>
          <w:sz w:val="20"/>
          <w:szCs w:val="20"/>
          <w:color w:val="auto"/>
        </w:rPr>
      </w:pPr>
    </w:p>
    <w:p>
      <w:pPr>
        <w:ind w:right="220" w:firstLine="405"/>
        <w:spacing w:after="0" w:line="250" w:lineRule="auto"/>
        <w:rPr>
          <w:sz w:val="20"/>
          <w:szCs w:val="20"/>
          <w:color w:val="auto"/>
        </w:rPr>
      </w:pPr>
      <w:r>
        <w:rPr>
          <w:rFonts w:ascii="Times New Roman" w:cs="Times New Roman" w:eastAsia="Times New Roman" w:hAnsi="Times New Roman"/>
          <w:sz w:val="18"/>
          <w:szCs w:val="18"/>
          <w:color w:val="auto"/>
        </w:rPr>
        <w:t>As of March 31, 2026 and December 31, 2025, the principal balance on the BAM Surplus Notes was $276.8 million for both periods, and total interest receivable on the BAM Surplus Notes was $220.6 million and $213.7 million, all at nominal value. For three months ended March 31, 2026 and 2025, White Mountains accrued $6.9 million and $7.5 million of interest income on the BAM Surplus Notes.</w:t>
      </w:r>
    </w:p>
    <w:p>
      <w:pPr>
        <w:spacing w:after="0" w:line="1" w:lineRule="exact"/>
        <w:rPr>
          <w:sz w:val="20"/>
          <w:szCs w:val="20"/>
          <w:color w:val="auto"/>
        </w:rPr>
      </w:pP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White Mountains elected the fair value option for the BAM Surplus Notes. The BAM Surplus Notes are classified as a Level 3 measurement. White Mountains values the BAM Surplus Notes each quarter using a discounted cash flow analysis.</w:t>
      </w:r>
    </w:p>
    <w:p>
      <w:pPr>
        <w:spacing w:after="0" w:line="1"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The discounted cash flow analysis used to value the BAM Surplus Notes depends on key inputs, such as projections of future revenues and earnings for BAM, expected payments on the BAM Surplus Notes through maturity and a discount rate to reflect time value and related uncertainty of the repayment pattern. The expected payments on the BAM Surplus Notes are based on management judgment, considering current performance, budgets and projected future results. These expected payments depend on BAM’s ability to generate excess cash flows from its operations, driven primarily by assumptions regarding future trends for the issuance of municipal bonds, interest rates, credit spreads, insured market penetration, competitive activity in the market for municipal bond insurance and other factors affecting the demand for and pricing of BAM’s municipal bond insurance, as well as BAM’s investment returns. The discount rate considers comparably-rated companies and instruments, adjusted for risks specific to BAM and the BAM Surplus Notes. As of March 31, 2026 and December 31, 2025, White Mountains concluded that a discount rate, which is a significant unobservable input used in estimating the fair value of the BAM Surplus Notes, of 8.30% and 8.05% was appropriate. The change in the discount rate was driven primarily by an increase in market interest rates.</w:t>
      </w:r>
    </w:p>
    <w:p>
      <w:pPr>
        <w:spacing w:after="0" w:line="4"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When making its fair value selection, White Mountains considers all available information, facts and circumstances specific to BAM’s business and industry and any infrequent or unusual results for the period. As of March 31, 2026 and December 31, 2025, White Mountains recognized the BAM Surplus Notes at a fair value of $345.9 million and $339.0 million. The recorded fair values represent management's best estimate and are within the range of reasonable values derived from the discounted cash flow analysis.</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37" w:name="page38"/>
    <w:bookmarkEnd w:id="37"/>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nominal value and fair value of the BAM Surplus Notes 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-5080</wp:posOffset>
            </wp:positionV>
            <wp:extent cx="52806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80660" cy="8890"/>
                    </a:xfrm>
                    <a:prstGeom prst="rect">
                      <a:avLst/>
                    </a:prstGeom>
                    <a:noFill/>
                  </pic:spPr>
                </pic:pic>
              </a:graphicData>
            </a:graphic>
          </wp:anchor>
        </w:drawing>
      </w:r>
    </w:p>
    <w:tbl>
      <w:tblPr>
        <w:tblLayout w:type="fixed"/>
        <w:tblInd w:w="1460" w:type="dxa"/>
        <w:tblCellMar>
          <w:top w:w="0" w:type="dxa"/>
          <w:left w:w="0" w:type="dxa"/>
          <w:bottom w:w="0" w:type="dxa"/>
          <w:right w:w="0" w:type="dxa"/>
        </w:tblCellMar>
      </w:tblPr>
      <w:tr>
        <w:trPr>
          <w:trHeight w:val="155"/>
        </w:trPr>
        <w:tc>
          <w:tcPr>
            <w:tcW w:w="4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940" w:type="dxa"/>
            <w:vAlign w:val="bottom"/>
            <w:gridSpan w:val="3"/>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184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0" w:type="dxa"/>
            <w:vAlign w:val="bottom"/>
          </w:tcPr>
          <w:p>
            <w:pPr>
              <w:spacing w:after="0"/>
              <w:rPr>
                <w:sz w:val="1"/>
                <w:szCs w:val="1"/>
                <w:color w:val="auto"/>
              </w:rPr>
            </w:pPr>
          </w:p>
        </w:tc>
      </w:tr>
      <w:tr>
        <w:trPr>
          <w:trHeight w:val="195"/>
        </w:trPr>
        <w:tc>
          <w:tcPr>
            <w:tcW w:w="454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31, 2026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0" w:type="dxa"/>
            <w:vAlign w:val="bottom"/>
          </w:tcPr>
          <w:p>
            <w:pPr>
              <w:spacing w:after="0"/>
              <w:rPr>
                <w:sz w:val="1"/>
                <w:szCs w:val="1"/>
                <w:color w:val="auto"/>
              </w:rPr>
            </w:pPr>
          </w:p>
        </w:tc>
      </w:tr>
      <w:tr>
        <w:trPr>
          <w:trHeight w:val="219"/>
        </w:trPr>
        <w:tc>
          <w:tcPr>
            <w:tcW w:w="4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Beginning nominal value</w:t>
            </w:r>
          </w:p>
        </w:tc>
        <w:tc>
          <w:tcPr>
            <w:tcW w:w="100" w:type="dxa"/>
            <w:vAlign w:val="bottom"/>
          </w:tcPr>
          <w:p>
            <w:pPr>
              <w:spacing w:after="0"/>
              <w:rPr>
                <w:sz w:val="19"/>
                <w:szCs w:val="19"/>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490.5</w:t>
            </w:r>
          </w:p>
        </w:tc>
        <w:tc>
          <w:tcPr>
            <w:tcW w:w="100" w:type="dxa"/>
            <w:vAlign w:val="bottom"/>
          </w:tcPr>
          <w:p>
            <w:pPr>
              <w:spacing w:after="0"/>
              <w:rPr>
                <w:sz w:val="19"/>
                <w:szCs w:val="19"/>
                <w:color w:val="auto"/>
              </w:rPr>
            </w:pPr>
          </w:p>
        </w:tc>
        <w:tc>
          <w:tcPr>
            <w:tcW w:w="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0" w:type="dxa"/>
            <w:vAlign w:val="bottom"/>
          </w:tcPr>
          <w:p>
            <w:pPr>
              <w:spacing w:after="0"/>
              <w:rPr>
                <w:sz w:val="1"/>
                <w:szCs w:val="1"/>
                <w:color w:val="auto"/>
              </w:rPr>
            </w:pPr>
          </w:p>
        </w:tc>
      </w:tr>
      <w:tr>
        <w:trPr>
          <w:trHeight w:val="230"/>
        </w:trPr>
        <w:tc>
          <w:tcPr>
            <w:tcW w:w="4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income from BAM Surplus Notes</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8"/>
        </w:trPr>
        <w:tc>
          <w:tcPr>
            <w:tcW w:w="4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Payments of principal and interest</w:t>
            </w:r>
          </w:p>
        </w:tc>
        <w:tc>
          <w:tcPr>
            <w:tcW w:w="38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nominal value</w:t>
            </w:r>
          </w:p>
        </w:tc>
        <w:tc>
          <w:tcPr>
            <w:tcW w:w="3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497.4</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0" w:type="dxa"/>
            <w:vAlign w:val="bottom"/>
          </w:tcPr>
          <w:p>
            <w:pPr>
              <w:spacing w:after="0"/>
              <w:rPr>
                <w:sz w:val="1"/>
                <w:szCs w:val="1"/>
                <w:color w:val="auto"/>
              </w:rPr>
            </w:pPr>
          </w:p>
        </w:tc>
      </w:tr>
      <w:tr>
        <w:trPr>
          <w:trHeight w:val="255"/>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Beginning fair value discount</w:t>
            </w:r>
          </w:p>
        </w:tc>
        <w:tc>
          <w:tcPr>
            <w:tcW w:w="3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38"/>
        </w:trPr>
        <w:tc>
          <w:tcPr>
            <w:tcW w:w="4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 in fair value of BAM Surplus Notes</w:t>
            </w:r>
          </w:p>
        </w:tc>
        <w:tc>
          <w:tcPr>
            <w:tcW w:w="38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fair value discount</w:t>
            </w:r>
          </w:p>
        </w:tc>
        <w:tc>
          <w:tcPr>
            <w:tcW w:w="3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(151.5)</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63"/>
        </w:trPr>
        <w:tc>
          <w:tcPr>
            <w:tcW w:w="4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BAM Surplus Notes, at fair value</w:t>
            </w: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345.9</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0" w:type="dxa"/>
            <w:vAlign w:val="bottom"/>
          </w:tcPr>
          <w:p>
            <w:pPr>
              <w:spacing w:after="0"/>
              <w:rPr>
                <w:sz w:val="1"/>
                <w:szCs w:val="1"/>
                <w:color w:val="auto"/>
              </w:rPr>
            </w:pPr>
          </w:p>
        </w:tc>
      </w:tr>
      <w:tr>
        <w:trPr>
          <w:trHeight w:val="21"/>
        </w:trPr>
        <w:tc>
          <w:tcPr>
            <w:tcW w:w="4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Insured Obligations and Premiums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HG Global segment’s insured obligations as of March 31, 2026 and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120015</wp:posOffset>
            </wp:positionV>
            <wp:extent cx="48088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808855" cy="8255"/>
                    </a:xfrm>
                    <a:prstGeom prst="rect">
                      <a:avLst/>
                    </a:prstGeom>
                    <a:noFill/>
                  </pic:spPr>
                </pic:pic>
              </a:graphicData>
            </a:graphic>
          </wp:anchor>
        </w:drawing>
      </w:r>
    </w:p>
    <w:p>
      <w:pPr>
        <w:spacing w:after="0" w:line="226" w:lineRule="exact"/>
        <w:rPr>
          <w:sz w:val="20"/>
          <w:szCs w:val="20"/>
          <w:color w:val="auto"/>
        </w:rPr>
      </w:pPr>
    </w:p>
    <w:tbl>
      <w:tblPr>
        <w:tblLayout w:type="fixed"/>
        <w:tblInd w:w="184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4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Contracts outstanding</w:t>
            </w:r>
          </w:p>
        </w:tc>
        <w:tc>
          <w:tcPr>
            <w:tcW w:w="22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17,721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17,377</w:t>
            </w:r>
          </w:p>
        </w:tc>
      </w:tr>
      <w:tr>
        <w:trPr>
          <w:trHeight w:val="257"/>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Remaining weighted average contract period (in years) </w:t>
            </w:r>
            <w:r>
              <w:rPr>
                <w:rFonts w:ascii="Times New Roman" w:cs="Times New Roman" w:eastAsia="Times New Roman" w:hAnsi="Times New Roman"/>
                <w:sz w:val="9"/>
                <w:szCs w:val="9"/>
                <w:color w:val="auto"/>
              </w:rPr>
              <w:t>(1)</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31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Outstanding par value of policies assumed (in millions) </w:t>
            </w:r>
            <w:r>
              <w:rPr>
                <w:rFonts w:ascii="Times New Roman" w:cs="Times New Roman" w:eastAsia="Times New Roman" w:hAnsi="Times New Roman"/>
                <w:sz w:val="9"/>
                <w:szCs w:val="9"/>
                <w:color w:val="auto"/>
              </w:rPr>
              <w:t>(2)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20,856.3</w:t>
            </w:r>
          </w:p>
        </w:tc>
        <w:tc>
          <w:tcPr>
            <w:tcW w:w="140" w:type="dxa"/>
            <w:vAlign w:val="bottom"/>
          </w:tcPr>
          <w:p>
            <w:pPr>
              <w:spacing w:after="0"/>
              <w:rPr>
                <w:sz w:val="24"/>
                <w:szCs w:val="24"/>
                <w:color w:val="auto"/>
              </w:rPr>
            </w:pP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20,559.9</w:t>
            </w:r>
          </w:p>
        </w:tc>
      </w:tr>
      <w:tr>
        <w:trPr>
          <w:trHeight w:val="311"/>
        </w:trPr>
        <w:tc>
          <w:tcPr>
            <w:tcW w:w="4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Gross unearned insurance premiums (in millions)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328.5</w:t>
            </w: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327.9</w:t>
            </w:r>
          </w:p>
        </w:tc>
      </w:tr>
    </w:tbl>
    <w:p>
      <w:pPr>
        <w:spacing w:after="0" w:line="107" w:lineRule="exact"/>
        <w:rPr>
          <w:sz w:val="20"/>
          <w:szCs w:val="20"/>
          <w:color w:val="auto"/>
        </w:rPr>
      </w:pPr>
    </w:p>
    <w:p>
      <w:pPr>
        <w:ind w:left="1040" w:hanging="141"/>
        <w:spacing w:after="0"/>
        <w:tabs>
          <w:tab w:leader="none" w:pos="1040"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remaining weighted average contract period was calculated using total contractual debt service outstanding, including principal and interest.</w:t>
      </w:r>
    </w:p>
    <w:p>
      <w:pPr>
        <w:spacing w:after="0" w:line="3" w:lineRule="exact"/>
        <w:rPr>
          <w:rFonts w:ascii="Times New Roman" w:cs="Times New Roman" w:eastAsia="Times New Roman" w:hAnsi="Times New Roman"/>
          <w:sz w:val="18"/>
          <w:szCs w:val="18"/>
          <w:color w:val="auto"/>
          <w:vertAlign w:val="superscript"/>
        </w:rPr>
      </w:pPr>
    </w:p>
    <w:p>
      <w:pPr>
        <w:ind w:left="1060" w:right="900" w:hanging="161"/>
        <w:spacing w:after="0" w:line="244" w:lineRule="auto"/>
        <w:tabs>
          <w:tab w:leader="none" w:pos="1036" w:val="left"/>
        </w:tabs>
        <w:numPr>
          <w:ilvl w:val="0"/>
          <w:numId w:val="2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Under the FLRT, HG Re provides first-loss reinsurance protection of up to 15%-of-par outstanding for each policy assumed from BAM. For capital appreciation bonds, par is adjusted to the estimated equivalent par value for current interest paying bonds.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HG Global segment’s future premium revenues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68580</wp:posOffset>
            </wp:positionV>
            <wp:extent cx="32829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45" w:lineRule="exact"/>
        <w:rPr>
          <w:sz w:val="20"/>
          <w:szCs w:val="20"/>
          <w:color w:val="auto"/>
        </w:rPr>
      </w:pPr>
    </w:p>
    <w:tbl>
      <w:tblPr>
        <w:tblLayout w:type="fixed"/>
        <w:tblInd w:w="3040" w:type="dxa"/>
        <w:tblCellMar>
          <w:top w:w="0" w:type="dxa"/>
          <w:left w:w="0" w:type="dxa"/>
          <w:bottom w:w="0" w:type="dxa"/>
          <w:right w:w="0" w:type="dxa"/>
        </w:tblCellMar>
      </w:tblPr>
      <w:tr>
        <w:trPr>
          <w:trHeight w:val="19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6"/>
                <w:szCs w:val="16"/>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3"/>
        </w:trPr>
        <w:tc>
          <w:tcPr>
            <w:tcW w:w="3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1, 2026 - December 31, 2026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21.1</w:t>
            </w:r>
          </w:p>
        </w:tc>
      </w:tr>
      <w:tr>
        <w:trPr>
          <w:trHeight w:val="257"/>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26.8</w:t>
            </w:r>
          </w:p>
        </w:tc>
      </w:tr>
      <w:tr>
        <w:trPr>
          <w:trHeight w:val="256"/>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25.2</w:t>
            </w:r>
          </w:p>
        </w:tc>
      </w:tr>
      <w:tr>
        <w:trPr>
          <w:trHeight w:val="257"/>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23.7</w:t>
            </w:r>
          </w:p>
        </w:tc>
      </w:tr>
      <w:tr>
        <w:trPr>
          <w:trHeight w:val="256"/>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22.3</w:t>
            </w:r>
          </w:p>
        </w:tc>
      </w:tr>
      <w:tr>
        <w:trPr>
          <w:trHeight w:val="256"/>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2031 and thereafter</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209.4</w:t>
            </w:r>
          </w:p>
        </w:tc>
      </w:tr>
      <w:tr>
        <w:trPr>
          <w:trHeight w:val="223"/>
        </w:trPr>
        <w:tc>
          <w:tcPr>
            <w:tcW w:w="35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gross unearned insurance premiums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328.5</w:t>
            </w: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presents gross written premiums and gross earned premiums included in the HG Global segment for the three months ended March 31, 2026 and 2025:</w:t>
      </w:r>
    </w:p>
    <w:p>
      <w:pPr>
        <w:spacing w:after="0" w:line="120" w:lineRule="exact"/>
        <w:rPr>
          <w:sz w:val="20"/>
          <w:szCs w:val="20"/>
          <w:color w:val="auto"/>
        </w:rPr>
      </w:pPr>
    </w:p>
    <w:tbl>
      <w:tblPr>
        <w:tblLayout w:type="fixed"/>
        <w:tblInd w:w="2920" w:type="dxa"/>
        <w:tblCellMar>
          <w:top w:w="0" w:type="dxa"/>
          <w:left w:w="0" w:type="dxa"/>
          <w:bottom w:w="0" w:type="dxa"/>
          <w:right w:w="0" w:type="dxa"/>
        </w:tblCellMar>
      </w:tblPr>
      <w:tr>
        <w:trPr>
          <w:trHeight w:val="209"/>
        </w:trPr>
        <w:tc>
          <w:tcPr>
            <w:tcW w:w="2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3"/>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Written premiums:</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7"/>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Assumed</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6.7</w:t>
            </w:r>
          </w:p>
        </w:tc>
      </w:tr>
      <w:tr>
        <w:trPr>
          <w:trHeight w:val="236"/>
        </w:trPr>
        <w:tc>
          <w:tcPr>
            <w:tcW w:w="2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Gross written premiums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w:t>
            </w:r>
          </w:p>
        </w:tc>
      </w:tr>
      <w:tr>
        <w:trPr>
          <w:trHeight w:val="256"/>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Earned premiums:</w:t>
            </w: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6"/>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Assumed</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28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Gross earned premiums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2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891" w:right="3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Earnings Per Share</w:t>
      </w:r>
    </w:p>
    <w:p>
      <w:pPr>
        <w:spacing w:after="0" w:line="25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White Mountains calculates earnings per share using the two-class method, which allocates earnings between common shares and unvested restricted common shares. Both classes of shares participate equally in dividends and earnings on a per share basis. Basic earnings per share amounts are based on the weighted average number of common shares outstanding adjusted for unvested restricted common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computation of earnings per share for the three months ended March 31, 2026 and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520" w:type="dxa"/>
            <w:vAlign w:val="bottom"/>
            <w:tcBorders>
              <w:top w:val="single" w:sz="8" w:color="auto"/>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 numerators (in millions):</w:t>
            </w:r>
          </w:p>
        </w:tc>
        <w:tc>
          <w:tcPr>
            <w:tcW w:w="100" w:type="dxa"/>
            <w:vAlign w:val="bottom"/>
          </w:tcPr>
          <w:p>
            <w:pPr>
              <w:spacing w:after="0"/>
              <w:rPr>
                <w:sz w:val="19"/>
                <w:szCs w:val="19"/>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White Mountains’s common shareholders</w:t>
            </w:r>
          </w:p>
        </w:tc>
        <w:tc>
          <w:tcPr>
            <w:tcW w:w="2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30"/>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Adjustment for redeemable noncontrolling interests </w:t>
            </w:r>
            <w:r>
              <w:rPr>
                <w:rFonts w:ascii="Times New Roman" w:cs="Times New Roman" w:eastAsia="Times New Roman" w:hAnsi="Times New Roman"/>
                <w:sz w:val="9"/>
                <w:szCs w:val="9"/>
                <w:color w:val="auto"/>
              </w:rPr>
              <w:t>(1)</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Allocation of (earnings) losses to participating restricted common shares </w:t>
            </w:r>
            <w:r>
              <w:rPr>
                <w:rFonts w:ascii="Times New Roman" w:cs="Times New Roman" w:eastAsia="Times New Roman" w:hAnsi="Times New Roman"/>
                <w:sz w:val="9"/>
                <w:szCs w:val="9"/>
                <w:color w:val="auto"/>
              </w:rPr>
              <w:t>(2)</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and diluted earnings (losses) per share numerators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05"/>
        </w:trPr>
        <w:tc>
          <w:tcPr>
            <w:tcW w:w="79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Basic earnings per share denominators (in thousands):</w:t>
            </w:r>
          </w:p>
        </w:tc>
        <w:tc>
          <w:tcPr>
            <w:tcW w:w="24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2,472.8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average common shares outstanding during the period</w:t>
            </w:r>
          </w:p>
        </w:tc>
        <w:tc>
          <w:tcPr>
            <w:tcW w:w="2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2,567.0</w:t>
            </w:r>
          </w:p>
        </w:tc>
        <w:tc>
          <w:tcPr>
            <w:tcW w:w="0" w:type="dxa"/>
            <w:vAlign w:val="bottom"/>
          </w:tcPr>
          <w:p>
            <w:pPr>
              <w:spacing w:after="0"/>
              <w:rPr>
                <w:sz w:val="1"/>
                <w:szCs w:val="1"/>
                <w:color w:val="auto"/>
              </w:rPr>
            </w:pPr>
          </w:p>
        </w:tc>
      </w:tr>
      <w:tr>
        <w:trPr>
          <w:trHeight w:val="238"/>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Average unvested restricted common shares </w:t>
            </w:r>
            <w:r>
              <w:rPr>
                <w:rFonts w:ascii="Times New Roman" w:cs="Times New Roman" w:eastAsia="Times New Roman" w:hAnsi="Times New Roman"/>
                <w:sz w:val="9"/>
                <w:szCs w:val="9"/>
                <w:color w:val="auto"/>
              </w:rPr>
              <w:t>(3)</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3"/>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earnings (losses) per share denominator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2,447.3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2,540.9</w:t>
            </w:r>
          </w:p>
        </w:tc>
        <w:tc>
          <w:tcPr>
            <w:tcW w:w="0" w:type="dxa"/>
            <w:vAlign w:val="bottom"/>
          </w:tcPr>
          <w:p>
            <w:pPr>
              <w:spacing w:after="0"/>
              <w:rPr>
                <w:sz w:val="1"/>
                <w:szCs w:val="1"/>
                <w:color w:val="auto"/>
              </w:rPr>
            </w:pPr>
          </w:p>
        </w:tc>
      </w:tr>
      <w:tr>
        <w:trPr>
          <w:trHeight w:val="205"/>
        </w:trPr>
        <w:tc>
          <w:tcPr>
            <w:tcW w:w="79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Diluted earnings per share denominator (in thousands):</w:t>
            </w:r>
          </w:p>
        </w:tc>
        <w:tc>
          <w:tcPr>
            <w:tcW w:w="24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2,472.8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average common shares outstanding during the period</w:t>
            </w:r>
          </w:p>
        </w:tc>
        <w:tc>
          <w:tcPr>
            <w:tcW w:w="2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2,567.0</w:t>
            </w:r>
          </w:p>
        </w:tc>
        <w:tc>
          <w:tcPr>
            <w:tcW w:w="0" w:type="dxa"/>
            <w:vAlign w:val="bottom"/>
          </w:tcPr>
          <w:p>
            <w:pPr>
              <w:spacing w:after="0"/>
              <w:rPr>
                <w:sz w:val="1"/>
                <w:szCs w:val="1"/>
                <w:color w:val="auto"/>
              </w:rPr>
            </w:pPr>
          </w:p>
        </w:tc>
      </w:tr>
      <w:tr>
        <w:trPr>
          <w:trHeight w:val="238"/>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Average unvested restricted common shares </w:t>
            </w:r>
            <w:r>
              <w:rPr>
                <w:rFonts w:ascii="Times New Roman" w:cs="Times New Roman" w:eastAsia="Times New Roman" w:hAnsi="Times New Roman"/>
                <w:sz w:val="9"/>
                <w:szCs w:val="9"/>
                <w:color w:val="auto"/>
              </w:rPr>
              <w:t>(3)</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3"/>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 earnings (losses) per share denominator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2,447.3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2,540.9</w:t>
            </w:r>
          </w:p>
        </w:tc>
        <w:tc>
          <w:tcPr>
            <w:tcW w:w="0" w:type="dxa"/>
            <w:vAlign w:val="bottom"/>
          </w:tcPr>
          <w:p>
            <w:pPr>
              <w:spacing w:after="0"/>
              <w:rPr>
                <w:sz w:val="1"/>
                <w:szCs w:val="1"/>
                <w:color w:val="auto"/>
              </w:rPr>
            </w:pPr>
          </w:p>
        </w:tc>
      </w:tr>
      <w:tr>
        <w:trPr>
          <w:trHeight w:val="205"/>
        </w:trPr>
        <w:tc>
          <w:tcPr>
            <w:tcW w:w="79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Basic and diluted earnings per share (in dollars):</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Distributed earnings - dividends declared and paid</w:t>
            </w:r>
          </w:p>
        </w:tc>
        <w:tc>
          <w:tcPr>
            <w:tcW w:w="2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8"/>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Undistributed earnings (losses)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Basic and diluted earnings (losses) per share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(12.59)</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20"/>
        </w:trPr>
        <w:tc>
          <w:tcPr>
            <w:tcW w:w="7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180" w:right="640" w:hanging="172"/>
        <w:spacing w:after="0" w:line="267" w:lineRule="auto"/>
        <w:tabs>
          <w:tab w:leader="none" w:pos="163"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White Mountains recognizes an adjustment to the carrying value of the redeemable noncontrolling interests to the extent that the carrying value is below the redemption value. When calculating basic and diluted earnings per share, the adjustment for redeemable noncontrolling interests is treated as being akin to a dividend and presented as an adjustment to net income (loss) attributable to White Mountains’s common shareholders.</w:t>
      </w:r>
    </w:p>
    <w:p>
      <w:pPr>
        <w:spacing w:after="0" w:line="1" w:lineRule="exact"/>
        <w:rPr>
          <w:rFonts w:ascii="Times New Roman" w:cs="Times New Roman" w:eastAsia="Times New Roman" w:hAnsi="Times New Roman"/>
          <w:sz w:val="9"/>
          <w:szCs w:val="9"/>
          <w:color w:val="auto"/>
        </w:rPr>
      </w:pPr>
    </w:p>
    <w:p>
      <w:pPr>
        <w:ind w:left="160" w:hanging="152"/>
        <w:spacing w:after="0" w:line="192" w:lineRule="auto"/>
        <w:tabs>
          <w:tab w:leader="none" w:pos="16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Restricted shares issued by White Mountains receive dividends, and therefore, are considered participating securities.</w:t>
      </w:r>
    </w:p>
    <w:p>
      <w:pPr>
        <w:spacing w:after="0" w:line="3" w:lineRule="exact"/>
        <w:rPr>
          <w:rFonts w:ascii="Times New Roman" w:cs="Times New Roman" w:eastAsia="Times New Roman" w:hAnsi="Times New Roman"/>
          <w:sz w:val="19"/>
          <w:szCs w:val="19"/>
          <w:color w:val="auto"/>
          <w:vertAlign w:val="superscript"/>
        </w:rPr>
      </w:pPr>
    </w:p>
    <w:p>
      <w:pPr>
        <w:ind w:left="140" w:hanging="132"/>
        <w:spacing w:after="0" w:line="224" w:lineRule="auto"/>
        <w:tabs>
          <w:tab w:leader="none" w:pos="140" w:val="left"/>
        </w:tabs>
        <w:numPr>
          <w:ilvl w:val="0"/>
          <w:numId w:val="2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 xml:space="preserve">Restricted shares outstanding vest upon a stated date. See </w:t>
      </w:r>
      <w:r>
        <w:rPr>
          <w:rFonts w:ascii="Times New Roman" w:cs="Times New Roman" w:eastAsia="Times New Roman" w:hAnsi="Times New Roman"/>
          <w:sz w:val="12"/>
          <w:szCs w:val="12"/>
          <w:b w:val="1"/>
          <w:bCs w:val="1"/>
          <w:color w:val="auto"/>
        </w:rPr>
        <w:t>Note 12 — “Employee Share-Based Incentive Compensation Plans.”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undistributed net earnings (losses) for the three months ended March 31, 2026 and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520" w:type="dxa"/>
            <w:vAlign w:val="bottom"/>
            <w:tcBorders>
              <w:top w:val="single" w:sz="8" w:color="auto"/>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7"/>
                <w:szCs w:val="17"/>
                <w:color w:val="auto"/>
              </w:rPr>
            </w:pPr>
          </w:p>
        </w:tc>
        <w:tc>
          <w:tcPr>
            <w:tcW w:w="108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4"/>
        </w:trPr>
        <w:tc>
          <w:tcPr>
            <w:tcW w:w="7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Undistributed net earnings:</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79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Net earnings (losses) available to White Mountains’s common shareholders, net of restricted common share</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(30.8)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amounts</w:t>
            </w:r>
          </w:p>
        </w:tc>
        <w:tc>
          <w:tcPr>
            <w:tcW w:w="24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38"/>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Dividends declared, net of restricted common share amounts </w:t>
            </w:r>
            <w:r>
              <w:rPr>
                <w:rFonts w:ascii="Times New Roman" w:cs="Times New Roman" w:eastAsia="Times New Roman" w:hAnsi="Times New Roman"/>
                <w:sz w:val="9"/>
                <w:szCs w:val="9"/>
                <w:color w:val="auto"/>
              </w:rPr>
              <w:t>(1)</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undistributed net earnings (losses), net of restricted common share amounts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0"/>
        </w:trPr>
        <w:tc>
          <w:tcPr>
            <w:tcW w:w="7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Restricted shares issued by White Mountains receive dividends, and therefore, are considered participating securities.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Employee Share-Based Incentive Compensation Plans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White Mountains’s share-based incentive compensation plans are designed to incentivize key employees to maximize shareholder value over long periods of time. White Mountains believes that this is best pursued by utilizing a pay-for-performance program that closely aligns the financial interests of management with those of its shareholders while rewarding appropriate risk taking. White Mountains accomplishes this by emphasizing variable long-term compensation that is contingent on performance over a number of years rather than fixed entitlements. White Mountains expenses all its share-based compensation. As a result, White Mountains’s calculation of its owners’ returns includes the expense of all outstanding share-based compensation awards. The WTM Incentive Plan provides for grants of various types of share-based and non-share-based incentive awards to key employees and directors of White Mountains. As of March 31, 2026 and 2025, White Mountains’s share-based incentive compensation awards consist of performance shares and restricted shares.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Shares</w:t>
      </w:r>
    </w:p>
    <w:p>
      <w:pPr>
        <w:spacing w:after="0" w:line="2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Performance shares are designed to reward employees for meeting company-wide performance targets. Performance shares are conditional grants of a specified maximum number of common shares or an equivalent amount of cash. Awards generally vest at the end of a three-year service period, are subject to the attainment of pre-specified performance goals and are valued based on the market value of common shares at the time awards are paid. Performance shares earned under the WTM Incentive Plan are typically paid in cash but may be paid in common shares. Compensation expense is recognized for the vested portion of the awards over the related service periods. The level of payout ranges from zero to two times the number of shares initially granted, depending on White Mountains’s financial performance. Performance shares become payable at the conclusion of a performance cycle (typically three years) if pre-defined financial targets are met.</w:t>
      </w:r>
    </w:p>
    <w:p>
      <w:pPr>
        <w:spacing w:after="0" w:line="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performance measure used for determining performance share payouts is the growth in compensation value per share (“CVPS”). Prior to 2025, CVPS was calculated as the average of the growth in adjusted book value per share and the growth in intrinsic value per share. Intrinsic value per share is calculated by adjusting White Mountains’s book value per share for differences between the book value of certain assets and liabilities and White Mountains’s estimate of their underlying intrinsic value. For calendar years beginning with 2025, White Mountains has replaced growth in adjusted book value per share with growth in book value per share in the calculation of CVPS. For example, for the 2024-2026 performance cycle, adjusted book value per share growth would be used in the calculation of CVPS for calendar year 2024, and book value per share growth would be used for calendar years 2025 and 2026.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performance share activity for the three months ended March 31, 2026 and 2025 for performance shares granted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WTM Incentive Plan: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160" w:type="dxa"/>
            <w:vAlign w:val="bottom"/>
            <w:tcBorders>
              <w:top w:val="single" w:sz="8" w:color="auto"/>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740" w:type="dxa"/>
            <w:vAlign w:val="bottom"/>
            <w:gridSpan w:val="2"/>
          </w:tcPr>
          <w:p>
            <w:pPr>
              <w:ind w:left="200"/>
              <w:spacing w:after="0" w:line="137" w:lineRule="exact"/>
              <w:rPr>
                <w:sz w:val="20"/>
                <w:szCs w:val="20"/>
                <w:color w:val="auto"/>
              </w:rPr>
            </w:pPr>
            <w:r>
              <w:rPr>
                <w:rFonts w:ascii="Times New Roman" w:cs="Times New Roman" w:eastAsia="Times New Roman" w:hAnsi="Times New Roman"/>
                <w:sz w:val="14"/>
                <w:szCs w:val="14"/>
                <w:b w:val="1"/>
                <w:bCs w:val="1"/>
                <w:color w:val="auto"/>
              </w:rPr>
              <w:t>Target Performance</w:t>
            </w:r>
          </w:p>
        </w:tc>
        <w:tc>
          <w:tcPr>
            <w:tcW w:w="320" w:type="dxa"/>
            <w:vAlign w:val="bottom"/>
          </w:tcPr>
          <w:p>
            <w:pPr>
              <w:spacing w:after="0"/>
              <w:rPr>
                <w:sz w:val="11"/>
                <w:szCs w:val="11"/>
                <w:color w:val="auto"/>
              </w:rPr>
            </w:pPr>
          </w:p>
        </w:tc>
        <w:tc>
          <w:tcPr>
            <w:tcW w:w="1300" w:type="dxa"/>
            <w:vAlign w:val="bottom"/>
          </w:tcPr>
          <w:p>
            <w:pPr>
              <w:jc w:val="right"/>
              <w:ind w:right="462"/>
              <w:spacing w:after="0" w:line="137" w:lineRule="exact"/>
              <w:rPr>
                <w:sz w:val="20"/>
                <w:szCs w:val="20"/>
                <w:color w:val="auto"/>
              </w:rPr>
            </w:pPr>
            <w:r>
              <w:rPr>
                <w:rFonts w:ascii="Times New Roman" w:cs="Times New Roman" w:eastAsia="Times New Roman" w:hAnsi="Times New Roman"/>
                <w:sz w:val="14"/>
                <w:szCs w:val="14"/>
                <w:b w:val="1"/>
                <w:bCs w:val="1"/>
                <w:color w:val="auto"/>
              </w:rPr>
              <w:t>Accrued</w:t>
            </w:r>
          </w:p>
        </w:tc>
        <w:tc>
          <w:tcPr>
            <w:tcW w:w="120" w:type="dxa"/>
            <w:vAlign w:val="bottom"/>
          </w:tcPr>
          <w:p>
            <w:pPr>
              <w:spacing w:after="0"/>
              <w:rPr>
                <w:sz w:val="11"/>
                <w:szCs w:val="11"/>
                <w:color w:val="auto"/>
              </w:rPr>
            </w:pPr>
          </w:p>
        </w:tc>
        <w:tc>
          <w:tcPr>
            <w:tcW w:w="1740" w:type="dxa"/>
            <w:vAlign w:val="bottom"/>
            <w:gridSpan w:val="2"/>
          </w:tcPr>
          <w:p>
            <w:pPr>
              <w:ind w:left="200"/>
              <w:spacing w:after="0" w:line="137" w:lineRule="exact"/>
              <w:rPr>
                <w:sz w:val="20"/>
                <w:szCs w:val="20"/>
                <w:color w:val="auto"/>
              </w:rPr>
            </w:pPr>
            <w:r>
              <w:rPr>
                <w:rFonts w:ascii="Times New Roman" w:cs="Times New Roman" w:eastAsia="Times New Roman" w:hAnsi="Times New Roman"/>
                <w:sz w:val="14"/>
                <w:szCs w:val="14"/>
                <w:b w:val="1"/>
                <w:bCs w:val="1"/>
                <w:color w:val="auto"/>
              </w:rPr>
              <w:t>Target Performance</w:t>
            </w:r>
          </w:p>
        </w:tc>
        <w:tc>
          <w:tcPr>
            <w:tcW w:w="320" w:type="dxa"/>
            <w:vAlign w:val="bottom"/>
          </w:tcPr>
          <w:p>
            <w:pPr>
              <w:spacing w:after="0"/>
              <w:rPr>
                <w:sz w:val="11"/>
                <w:szCs w:val="11"/>
                <w:color w:val="auto"/>
              </w:rPr>
            </w:pPr>
          </w:p>
        </w:tc>
        <w:tc>
          <w:tcPr>
            <w:tcW w:w="1320" w:type="dxa"/>
            <w:vAlign w:val="bottom"/>
          </w:tcPr>
          <w:p>
            <w:pPr>
              <w:jc w:val="right"/>
              <w:ind w:right="481"/>
              <w:spacing w:after="0" w:line="137" w:lineRule="exact"/>
              <w:rPr>
                <w:sz w:val="20"/>
                <w:szCs w:val="20"/>
                <w:color w:val="auto"/>
              </w:rPr>
            </w:pPr>
            <w:r>
              <w:rPr>
                <w:rFonts w:ascii="Times New Roman" w:cs="Times New Roman" w:eastAsia="Times New Roman" w:hAnsi="Times New Roman"/>
                <w:sz w:val="14"/>
                <w:szCs w:val="14"/>
                <w:b w:val="1"/>
                <w:bCs w:val="1"/>
                <w:color w:val="auto"/>
              </w:rPr>
              <w:t>Accrued</w:t>
            </w:r>
          </w:p>
        </w:tc>
        <w:tc>
          <w:tcPr>
            <w:tcW w:w="0" w:type="dxa"/>
            <w:vAlign w:val="bottom"/>
          </w:tcPr>
          <w:p>
            <w:pPr>
              <w:spacing w:after="0"/>
              <w:rPr>
                <w:sz w:val="1"/>
                <w:szCs w:val="1"/>
                <w:color w:val="auto"/>
              </w:rPr>
            </w:pPr>
          </w:p>
        </w:tc>
      </w:tr>
      <w:tr>
        <w:trPr>
          <w:trHeight w:val="195"/>
        </w:trPr>
        <w:tc>
          <w:tcPr>
            <w:tcW w:w="4240" w:type="dxa"/>
            <w:vAlign w:val="bottom"/>
            <w:gridSpan w:val="2"/>
            <w:vMerge w:val="continue"/>
          </w:tcPr>
          <w:p>
            <w:pPr>
              <w:spacing w:after="0"/>
              <w:rPr>
                <w:sz w:val="16"/>
                <w:szCs w:val="16"/>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 Outstanding</w:t>
            </w:r>
          </w:p>
        </w:tc>
        <w:tc>
          <w:tcPr>
            <w:tcW w:w="320" w:type="dxa"/>
            <w:vAlign w:val="bottom"/>
          </w:tcPr>
          <w:p>
            <w:pPr>
              <w:spacing w:after="0"/>
              <w:rPr>
                <w:sz w:val="16"/>
                <w:szCs w:val="16"/>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 Outstanding</w:t>
            </w:r>
          </w:p>
        </w:tc>
        <w:tc>
          <w:tcPr>
            <w:tcW w:w="320" w:type="dxa"/>
            <w:vAlign w:val="bottom"/>
          </w:tcPr>
          <w:p>
            <w:pPr>
              <w:spacing w:after="0"/>
              <w:rPr>
                <w:sz w:val="16"/>
                <w:szCs w:val="16"/>
                <w:color w:val="auto"/>
              </w:rPr>
            </w:pPr>
          </w:p>
        </w:tc>
        <w:tc>
          <w:tcPr>
            <w:tcW w:w="132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11"/>
        </w:trPr>
        <w:tc>
          <w:tcPr>
            <w:tcW w:w="4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12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32,416</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73.2</w:t>
            </w:r>
          </w:p>
        </w:tc>
        <w:tc>
          <w:tcPr>
            <w:tcW w:w="12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34,859</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71.1</w:t>
            </w:r>
          </w:p>
        </w:tc>
        <w:tc>
          <w:tcPr>
            <w:tcW w:w="0" w:type="dxa"/>
            <w:vAlign w:val="bottom"/>
          </w:tcPr>
          <w:p>
            <w:pPr>
              <w:spacing w:after="0"/>
              <w:rPr>
                <w:sz w:val="1"/>
                <w:szCs w:val="1"/>
                <w:color w:val="auto"/>
              </w:rPr>
            </w:pPr>
          </w:p>
        </w:tc>
      </w:tr>
      <w:tr>
        <w:trPr>
          <w:trHeight w:val="217"/>
        </w:trPr>
        <w:tc>
          <w:tcPr>
            <w:tcW w:w="4240" w:type="dxa"/>
            <w:vAlign w:val="bottom"/>
            <w:gridSpan w:val="2"/>
          </w:tcPr>
          <w:p>
            <w:pPr>
              <w:ind w:left="220"/>
              <w:spacing w:after="0" w:line="217" w:lineRule="exact"/>
              <w:rPr>
                <w:sz w:val="20"/>
                <w:szCs w:val="20"/>
                <w:color w:val="auto"/>
              </w:rPr>
            </w:pPr>
            <w:r>
              <w:rPr>
                <w:rFonts w:ascii="Times New Roman" w:cs="Times New Roman" w:eastAsia="Times New Roman" w:hAnsi="Times New Roman"/>
                <w:sz w:val="16"/>
                <w:szCs w:val="16"/>
                <w:color w:val="auto"/>
              </w:rPr>
              <w:t xml:space="preserve">Shares paid or expired </w:t>
            </w:r>
            <w:r>
              <w:rPr>
                <w:rFonts w:ascii="Times New Roman" w:cs="Times New Roman" w:eastAsia="Times New Roman" w:hAnsi="Times New Roman"/>
                <w:sz w:val="21"/>
                <w:szCs w:val="21"/>
                <w:color w:val="auto"/>
                <w:vertAlign w:val="superscript"/>
              </w:rPr>
              <w:t>(1)</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(10,835)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(44.1)</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12"/>
        </w:trPr>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New grants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4240" w:type="dxa"/>
            <w:vAlign w:val="bottom"/>
            <w:gridSpan w:val="2"/>
          </w:tcPr>
          <w:p>
            <w:pPr>
              <w:ind w:left="220"/>
              <w:spacing w:after="0" w:line="220" w:lineRule="exact"/>
              <w:rPr>
                <w:sz w:val="20"/>
                <w:szCs w:val="20"/>
                <w:color w:val="auto"/>
              </w:rPr>
            </w:pPr>
            <w:r>
              <w:rPr>
                <w:rFonts w:ascii="Times New Roman" w:cs="Times New Roman" w:eastAsia="Times New Roman" w:hAnsi="Times New Roman"/>
                <w:sz w:val="16"/>
                <w:szCs w:val="16"/>
                <w:color w:val="auto"/>
              </w:rPr>
              <w:t xml:space="preserve">Forfeitures and cancellations </w:t>
            </w:r>
            <w:r>
              <w:rPr>
                <w:rFonts w:ascii="Times New Roman" w:cs="Times New Roman" w:eastAsia="Times New Roman" w:hAnsi="Times New Roman"/>
                <w:sz w:val="21"/>
                <w:szCs w:val="21"/>
                <w:color w:val="auto"/>
                <w:vertAlign w:val="superscript"/>
              </w:rPr>
              <w:t>(2)</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2"/>
        </w:trPr>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Expense recognized</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13.0</w:t>
            </w:r>
          </w:p>
        </w:tc>
        <w:tc>
          <w:tcPr>
            <w:tcW w:w="12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4"/>
        </w:trPr>
        <w:tc>
          <w:tcPr>
            <w:tcW w:w="4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31,215</w:t>
            </w:r>
          </w:p>
        </w:tc>
        <w:tc>
          <w:tcPr>
            <w:tcW w:w="1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42.6</w:t>
            </w:r>
          </w:p>
        </w:tc>
        <w:tc>
          <w:tcPr>
            <w:tcW w:w="120" w:type="dxa"/>
            <w:vAlign w:val="bottom"/>
            <w:tcBorders>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32,392</w:t>
            </w:r>
          </w:p>
        </w:tc>
        <w:tc>
          <w:tcPr>
            <w:tcW w:w="1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2"/>
        </w:trPr>
        <w:tc>
          <w:tcPr>
            <w:tcW w:w="4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80" w:hanging="172"/>
        <w:spacing w:after="0" w:line="228" w:lineRule="auto"/>
        <w:tabs>
          <w:tab w:leader="none" w:pos="15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WTM performance share payments for the 2023-2025 performance cycle were made in March 2026 at 184% of target. WTM performance share payments for the 2022-2024 performance cycle were made in March 2025 at 200% of target.</w:t>
      </w:r>
    </w:p>
    <w:p>
      <w:pPr>
        <w:ind w:left="140" w:hanging="132"/>
        <w:spacing w:after="0"/>
        <w:tabs>
          <w:tab w:leader="none" w:pos="14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Amounts include changes in assumed forfeitures, as required under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0" w:name="page41"/>
    <w:bookmarkEnd w:id="40"/>
    <w:p>
      <w:pPr>
        <w:ind w:right="38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White Mountains granted 9,615 performance shares for the 2026-2028 performance cycle. During the three months ended March 31, 2025, White Mountains granted 10,645 performance shares for the 2025-2027 performance cycle.</w:t>
      </w:r>
    </w:p>
    <w:p>
      <w:pPr>
        <w:spacing w:after="0" w:line="250" w:lineRule="auto"/>
        <w:rPr>
          <w:sz w:val="20"/>
          <w:szCs w:val="20"/>
          <w:color w:val="auto"/>
        </w:rPr>
      </w:pPr>
      <w:r>
        <w:rPr>
          <w:rFonts w:ascii="Times New Roman" w:cs="Times New Roman" w:eastAsia="Times New Roman" w:hAnsi="Times New Roman"/>
          <w:sz w:val="18"/>
          <w:szCs w:val="18"/>
          <w:color w:val="auto"/>
        </w:rPr>
        <w:t>For the 2023-2025 performance cycle, all performance shares earned were settled in cash. For the 2022-2024 performance cycle, the Company issued common shares for 30 performance shares earned, and all other performance shares earned were settled in cash. If all outstanding performance shares had vested on March 31, 2026, the total additional compensation cost to be recognized would have been $52.3 million, based on accrual factors as of March 31, 2026 (common share price and payout assumptions).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performance shares outstanding and accrued expense for performance shares awarded under the WTM Incentive Plan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for each performance cycle:</w:t>
      </w:r>
    </w:p>
    <w:p>
      <w:pPr>
        <w:spacing w:after="0" w:line="111" w:lineRule="exact"/>
        <w:rPr>
          <w:sz w:val="20"/>
          <w:szCs w:val="20"/>
          <w:color w:val="auto"/>
        </w:rPr>
      </w:pPr>
    </w:p>
    <w:tbl>
      <w:tblPr>
        <w:tblLayout w:type="fixed"/>
        <w:tblInd w:w="3020" w:type="dxa"/>
        <w:tblCellMar>
          <w:top w:w="0" w:type="dxa"/>
          <w:left w:w="0" w:type="dxa"/>
          <w:bottom w:w="0" w:type="dxa"/>
          <w:right w:w="0" w:type="dxa"/>
        </w:tblCellMar>
      </w:tblPr>
      <w:tr>
        <w:trPr>
          <w:trHeight w:val="210"/>
        </w:trPr>
        <w:tc>
          <w:tcPr>
            <w:tcW w:w="2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60" w:type="dxa"/>
            <w:vAlign w:val="bottom"/>
            <w:tcBorders>
              <w:top w:val="single" w:sz="8" w:color="auto"/>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40" w:type="dxa"/>
            <w:vAlign w:val="bottom"/>
            <w:vMerge w:val="restart"/>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Target Performance</w:t>
            </w:r>
          </w:p>
        </w:tc>
        <w:tc>
          <w:tcPr>
            <w:tcW w:w="420" w:type="dxa"/>
            <w:vAlign w:val="bottom"/>
          </w:tcPr>
          <w:p>
            <w:pPr>
              <w:spacing w:after="0"/>
              <w:rPr>
                <w:sz w:val="14"/>
                <w:szCs w:val="14"/>
                <w:color w:val="auto"/>
              </w:rPr>
            </w:pPr>
          </w:p>
        </w:tc>
        <w:tc>
          <w:tcPr>
            <w:tcW w:w="100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Accrued</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4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Shares Outstanding</w:t>
            </w:r>
          </w:p>
        </w:tc>
        <w:tc>
          <w:tcPr>
            <w:tcW w:w="1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37"/>
        </w:trPr>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Performance cycle:</w:t>
            </w: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2024 – 2026</w:t>
            </w: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11,405</w:t>
            </w:r>
          </w:p>
        </w:tc>
        <w:tc>
          <w:tcPr>
            <w:tcW w:w="140" w:type="dxa"/>
            <w:vAlign w:val="bottom"/>
          </w:tcPr>
          <w:p>
            <w:pPr>
              <w:spacing w:after="0"/>
              <w:rPr>
                <w:sz w:val="22"/>
                <w:szCs w:val="22"/>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57"/>
        </w:trPr>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2025 – 2027</w:t>
            </w: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10,670</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60"/>
        </w:trPr>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2026 – 2028</w:t>
            </w:r>
          </w:p>
        </w:tc>
        <w:tc>
          <w:tcPr>
            <w:tcW w:w="14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9,615</w:t>
            </w:r>
          </w:p>
        </w:tc>
        <w:tc>
          <w:tcPr>
            <w:tcW w:w="1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3"/>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Sub-total</w:t>
            </w: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31,690</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43.2</w:t>
            </w:r>
          </w:p>
        </w:tc>
        <w:tc>
          <w:tcPr>
            <w:tcW w:w="0" w:type="dxa"/>
            <w:vAlign w:val="bottom"/>
          </w:tcPr>
          <w:p>
            <w:pPr>
              <w:spacing w:after="0"/>
              <w:rPr>
                <w:sz w:val="1"/>
                <w:szCs w:val="1"/>
                <w:color w:val="auto"/>
              </w:rPr>
            </w:pPr>
          </w:p>
        </w:tc>
      </w:tr>
      <w:tr>
        <w:trPr>
          <w:trHeight w:val="257"/>
        </w:trPr>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Assumed forfeitures</w:t>
            </w:r>
          </w:p>
        </w:tc>
        <w:tc>
          <w:tcPr>
            <w:tcW w:w="14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(475)</w:t>
            </w:r>
          </w:p>
        </w:tc>
        <w:tc>
          <w:tcPr>
            <w:tcW w:w="1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4"/>
        </w:trPr>
        <w:tc>
          <w:tcPr>
            <w:tcW w:w="22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31,215</w:t>
            </w: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42.6</w:t>
            </w:r>
          </w:p>
        </w:tc>
        <w:tc>
          <w:tcPr>
            <w:tcW w:w="0" w:type="dxa"/>
            <w:vAlign w:val="bottom"/>
          </w:tcPr>
          <w:p>
            <w:pPr>
              <w:spacing w:after="0"/>
              <w:rPr>
                <w:sz w:val="1"/>
                <w:szCs w:val="1"/>
                <w:color w:val="auto"/>
              </w:rPr>
            </w:pPr>
          </w:p>
        </w:tc>
      </w:tr>
      <w:tr>
        <w:trPr>
          <w:trHeight w:val="22"/>
        </w:trPr>
        <w:tc>
          <w:tcPr>
            <w:tcW w:w="2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2026-2028 performance cycle, the targeted performance goal for full payment of outstanding performance shares granted under the WTM Incentive</w:t>
      </w:r>
    </w:p>
    <w:p>
      <w:pPr>
        <w:spacing w:after="0" w:line="5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Plan is 11% average annual growth in CVPS. Average annual growth of 6% or less would result in no payout, and average annual growth of 16% or more would result in a payout of 200%.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Shares</w:t>
      </w:r>
    </w:p>
    <w:p>
      <w:pPr>
        <w:spacing w:after="0" w:line="24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Restricted shares are grants of a specified number of common shares that generally vest at the end of a 34-month service period. The following table presents the unrecognized compensation cost associated with the outstanding restricted share awards under the WTM Incentive Plan for the three months ended March 31, 2026 and 2025:</w:t>
      </w:r>
    </w:p>
    <w:p>
      <w:pPr>
        <w:spacing w:after="0" w:line="228"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2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3180" w:type="dxa"/>
            <w:vAlign w:val="bottom"/>
            <w:tcBorders>
              <w:top w:val="single" w:sz="8" w:color="auto"/>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bottom w:val="single" w:sz="8" w:color="auto"/>
            </w:tcBorders>
            <w:gridSpan w:val="3"/>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Borders>
              <w:bottom w:val="single" w:sz="8" w:color="auto"/>
            </w:tcBorders>
            <w:gridSpan w:val="3"/>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7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64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Unamortized Issue Date</w:t>
            </w:r>
          </w:p>
        </w:tc>
        <w:tc>
          <w:tcPr>
            <w:tcW w:w="120" w:type="dxa"/>
            <w:vAlign w:val="bottom"/>
          </w:tcPr>
          <w:p>
            <w:pPr>
              <w:spacing w:after="0"/>
              <w:rPr>
                <w:sz w:val="11"/>
                <w:szCs w:val="11"/>
                <w:color w:val="auto"/>
              </w:rPr>
            </w:pPr>
          </w:p>
        </w:tc>
        <w:tc>
          <w:tcPr>
            <w:tcW w:w="172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6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Unamortized Issue Date</w:t>
            </w:r>
          </w:p>
        </w:tc>
        <w:tc>
          <w:tcPr>
            <w:tcW w:w="0" w:type="dxa"/>
            <w:vAlign w:val="bottom"/>
          </w:tcPr>
          <w:p>
            <w:pPr>
              <w:spacing w:after="0"/>
              <w:rPr>
                <w:sz w:val="1"/>
                <w:szCs w:val="1"/>
                <w:color w:val="auto"/>
              </w:rPr>
            </w:pPr>
          </w:p>
        </w:tc>
      </w:tr>
      <w:tr>
        <w:trPr>
          <w:trHeight w:val="195"/>
        </w:trPr>
        <w:tc>
          <w:tcPr>
            <w:tcW w:w="2520" w:type="dxa"/>
            <w:vAlign w:val="bottom"/>
            <w:gridSpan w:val="2"/>
            <w:vMerge w:val="continue"/>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6"/>
                <w:szCs w:val="16"/>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6"/>
                <w:szCs w:val="16"/>
                <w:color w:val="auto"/>
              </w:rPr>
            </w:pPr>
          </w:p>
        </w:tc>
        <w:tc>
          <w:tcPr>
            <w:tcW w:w="134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1"/>
        </w:trPr>
        <w:tc>
          <w:tcPr>
            <w:tcW w:w="2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w:t>
            </w:r>
          </w:p>
        </w:tc>
        <w:tc>
          <w:tcPr>
            <w:tcW w:w="10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32,910</w:t>
            </w:r>
          </w:p>
        </w:tc>
        <w:tc>
          <w:tcPr>
            <w:tcW w:w="100" w:type="dxa"/>
            <w:vAlign w:val="bottom"/>
          </w:tcPr>
          <w:p>
            <w:pPr>
              <w:spacing w:after="0"/>
              <w:rPr>
                <w:sz w:val="18"/>
                <w:szCs w:val="18"/>
                <w:color w:val="auto"/>
              </w:rPr>
            </w:pP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21.0</w:t>
            </w:r>
          </w:p>
        </w:tc>
        <w:tc>
          <w:tcPr>
            <w:tcW w:w="120" w:type="dxa"/>
            <w:vAlign w:val="bottom"/>
          </w:tcPr>
          <w:p>
            <w:pPr>
              <w:spacing w:after="0"/>
              <w:rPr>
                <w:sz w:val="18"/>
                <w:szCs w:val="18"/>
                <w:color w:val="auto"/>
              </w:rPr>
            </w:pP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35,390</w:t>
            </w:r>
          </w:p>
        </w:tc>
        <w:tc>
          <w:tcPr>
            <w:tcW w:w="100" w:type="dxa"/>
            <w:vAlign w:val="bottom"/>
          </w:tcPr>
          <w:p>
            <w:pPr>
              <w:spacing w:after="0"/>
              <w:rPr>
                <w:sz w:val="18"/>
                <w:szCs w:val="18"/>
                <w:color w:val="auto"/>
              </w:rPr>
            </w:pP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16"/>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(10,835)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Issued</w:t>
            </w: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9,615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21.3</w:t>
            </w:r>
          </w:p>
        </w:tc>
        <w:tc>
          <w:tcPr>
            <w:tcW w:w="120" w:type="dxa"/>
            <w:vAlign w:val="bottom"/>
          </w:tcPr>
          <w:p>
            <w:pPr>
              <w:spacing w:after="0"/>
              <w:rPr>
                <w:sz w:val="18"/>
                <w:szCs w:val="18"/>
                <w:color w:val="auto"/>
              </w:rPr>
            </w:pP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10,645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16"/>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Expense recognized</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c>
          <w:tcPr>
            <w:tcW w:w="12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4"/>
        </w:trPr>
        <w:tc>
          <w:tcPr>
            <w:tcW w:w="25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color w:val="auto"/>
              </w:rPr>
              <w:t>End of period</w:t>
            </w:r>
          </w:p>
        </w:tc>
        <w:tc>
          <w:tcPr>
            <w:tcW w:w="16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31,690</w:t>
            </w:r>
          </w:p>
        </w:tc>
        <w:tc>
          <w:tcPr>
            <w:tcW w:w="1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38.2</w:t>
            </w:r>
          </w:p>
        </w:tc>
        <w:tc>
          <w:tcPr>
            <w:tcW w:w="120" w:type="dxa"/>
            <w:vAlign w:val="bottom"/>
            <w:tcBorders>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32,885</w:t>
            </w:r>
          </w:p>
        </w:tc>
        <w:tc>
          <w:tcPr>
            <w:tcW w:w="1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2"/>
        </w:trPr>
        <w:tc>
          <w:tcPr>
            <w:tcW w:w="2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White Mountains issued 9,615 restricted shares that vest on January 1, 2029. During the three months ended March 31, 2025, White Mountains issued 10,645 restricted shares that vest on January 1, 2028. The unamortized issue date fair value as of March 31, 2026 is expected to be recognized ratably over the remaining vesting periods.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Noncontrolling Interests</w:t>
      </w:r>
    </w:p>
    <w:p>
      <w:pPr>
        <w:spacing w:after="0" w:line="256" w:lineRule="exact"/>
        <w:rPr>
          <w:sz w:val="20"/>
          <w:szCs w:val="20"/>
          <w:color w:val="auto"/>
        </w:rPr>
      </w:pPr>
    </w:p>
    <w:p>
      <w:pPr>
        <w:jc w:val="both"/>
        <w:ind w:right="160"/>
        <w:spacing w:after="0" w:line="257" w:lineRule="auto"/>
        <w:rPr>
          <w:sz w:val="20"/>
          <w:szCs w:val="20"/>
          <w:color w:val="auto"/>
        </w:rPr>
      </w:pPr>
      <w:r>
        <w:rPr>
          <w:rFonts w:ascii="Times New Roman" w:cs="Times New Roman" w:eastAsia="Times New Roman" w:hAnsi="Times New Roman"/>
          <w:sz w:val="18"/>
          <w:szCs w:val="18"/>
          <w:color w:val="auto"/>
        </w:rPr>
        <w:t>Noncontrolling interests consist of the ownership interests of noncontrolling shareholders in consolidated entities. White Mountains has both redeemable and nonredeemable noncontrolling interests. Noncontrolling interests with optional redemption features that are not within White Mountains’s control are classified as redeemable noncontrolling interests, which are considered temporary equity and presented as mezzanine equity on the balance sheet.</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Noncontrolling interests that do not have any redemption features are classified as nonredeemable noncontrolling interests, which are considered permanent equity and included in White Mountains’s total equity on the balance sheet. Nonredeemable noncontrolling interests are presented separately from White Mountains’s common shareholders’ equity.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September 5, 2028, the third anniversary of the closing of the Distinguished Transaction, certain noncontrolling unitholders will have the option to sell additional units representing 31.4% of Distinguished’s basic units outstanding to White Mountains at the same unit price paid in the Distinguished Transaction less aggregate per unit distributions. As of both March 31, 2026 and December 31, 2025, the carrying value of the redeemable noncontrolling interests was $131.5 million, and the redemption value would have been $131.5 million if exercised in full.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Nonredeemable Noncontrolling Interests</w:t>
      </w:r>
    </w:p>
    <w:p>
      <w:pPr>
        <w:spacing w:after="0" w:line="25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nonredeemable noncontrolling interests included in White Mountains’s total equity and the related percentage of each consolidated entity’s total equity owned by noncontrolling shareholders as of March 31, 2026 and December 31, 2025:</w:t>
      </w:r>
    </w:p>
    <w:p>
      <w:pPr>
        <w:spacing w:after="0" w:line="65" w:lineRule="exact"/>
        <w:rPr>
          <w:sz w:val="20"/>
          <w:szCs w:val="20"/>
          <w:color w:val="auto"/>
        </w:rPr>
      </w:pPr>
    </w:p>
    <w:tbl>
      <w:tblPr>
        <w:tblLayout w:type="fixed"/>
        <w:tblInd w:w="1200" w:type="dxa"/>
        <w:tblCellMar>
          <w:top w:w="0" w:type="dxa"/>
          <w:left w:w="0" w:type="dxa"/>
          <w:bottom w:w="0" w:type="dxa"/>
          <w:right w:w="0" w:type="dxa"/>
        </w:tblCellMar>
      </w:tblPr>
      <w:tr>
        <w:trPr>
          <w:trHeight w:val="210"/>
        </w:trPr>
        <w:tc>
          <w:tcPr>
            <w:tcW w:w="3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580" w:type="dxa"/>
            <w:vAlign w:val="bottom"/>
            <w:tcBorders>
              <w:top w:val="single" w:sz="8" w:color="auto"/>
              <w:bottom w:val="single" w:sz="8" w:color="auto"/>
            </w:tcBorders>
            <w:gridSpan w:val="4"/>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Borders>
              <w:top w:val="single" w:sz="8" w:color="auto"/>
            </w:tcBorders>
          </w:tcPr>
          <w:p>
            <w:pPr>
              <w:spacing w:after="0"/>
              <w:rPr>
                <w:sz w:val="18"/>
                <w:szCs w:val="18"/>
                <w:color w:val="auto"/>
              </w:rPr>
            </w:pPr>
          </w:p>
        </w:tc>
        <w:tc>
          <w:tcPr>
            <w:tcW w:w="2580" w:type="dxa"/>
            <w:vAlign w:val="bottom"/>
            <w:tcBorders>
              <w:top w:val="single" w:sz="8" w:color="auto"/>
              <w:bottom w:val="single" w:sz="8" w:color="auto"/>
            </w:tcBorders>
            <w:gridSpan w:val="4"/>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Nonredeemable</w:t>
            </w:r>
          </w:p>
        </w:tc>
        <w:tc>
          <w:tcPr>
            <w:tcW w:w="120" w:type="dxa"/>
            <w:vAlign w:val="bottom"/>
          </w:tcPr>
          <w:p>
            <w:pPr>
              <w:spacing w:after="0"/>
              <w:rPr>
                <w:sz w:val="11"/>
                <w:szCs w:val="11"/>
                <w:color w:val="auto"/>
              </w:rPr>
            </w:pPr>
          </w:p>
        </w:tc>
        <w:tc>
          <w:tcPr>
            <w:tcW w:w="1080" w:type="dxa"/>
            <w:vAlign w:val="bottom"/>
          </w:tcPr>
          <w:p>
            <w:pPr>
              <w:jc w:val="center"/>
              <w:ind w:right="16"/>
              <w:spacing w:after="0" w:line="135" w:lineRule="exact"/>
              <w:rPr>
                <w:sz w:val="20"/>
                <w:szCs w:val="20"/>
                <w:color w:val="auto"/>
              </w:rPr>
            </w:pPr>
            <w:r>
              <w:rPr>
                <w:rFonts w:ascii="Times New Roman" w:cs="Times New Roman" w:eastAsia="Times New Roman" w:hAnsi="Times New Roman"/>
                <w:sz w:val="14"/>
                <w:szCs w:val="14"/>
                <w:b w:val="1"/>
                <w:bCs w:val="1"/>
                <w:color w:val="auto"/>
              </w:rPr>
              <w:t>Nonredeemable</w:t>
            </w:r>
          </w:p>
        </w:tc>
        <w:tc>
          <w:tcPr>
            <w:tcW w:w="140" w:type="dxa"/>
            <w:vAlign w:val="bottom"/>
          </w:tcPr>
          <w:p>
            <w:pPr>
              <w:spacing w:after="0"/>
              <w:rPr>
                <w:sz w:val="11"/>
                <w:szCs w:val="11"/>
                <w:color w:val="auto"/>
              </w:rPr>
            </w:pPr>
          </w:p>
        </w:tc>
        <w:tc>
          <w:tcPr>
            <w:tcW w:w="150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Nonredeemable</w:t>
            </w:r>
          </w:p>
        </w:tc>
        <w:tc>
          <w:tcPr>
            <w:tcW w:w="1080" w:type="dxa"/>
            <w:vAlign w:val="bottom"/>
          </w:tcPr>
          <w:p>
            <w:pPr>
              <w:jc w:val="center"/>
              <w:ind w:right="36"/>
              <w:spacing w:after="0" w:line="135" w:lineRule="exact"/>
              <w:rPr>
                <w:sz w:val="20"/>
                <w:szCs w:val="20"/>
                <w:color w:val="auto"/>
              </w:rPr>
            </w:pPr>
            <w:r>
              <w:rPr>
                <w:rFonts w:ascii="Times New Roman" w:cs="Times New Roman" w:eastAsia="Times New Roman" w:hAnsi="Times New Roman"/>
                <w:sz w:val="14"/>
                <w:szCs w:val="14"/>
                <w:b w:val="1"/>
                <w:bCs w:val="1"/>
                <w:color w:val="auto"/>
              </w:rPr>
              <w:t>Nonredeemable</w:t>
            </w:r>
          </w:p>
        </w:tc>
        <w:tc>
          <w:tcPr>
            <w:tcW w:w="0" w:type="dxa"/>
            <w:vAlign w:val="bottom"/>
          </w:tcPr>
          <w:p>
            <w:pPr>
              <w:spacing w:after="0"/>
              <w:rPr>
                <w:sz w:val="1"/>
                <w:szCs w:val="1"/>
                <w:color w:val="auto"/>
              </w:rPr>
            </w:pPr>
          </w:p>
        </w:tc>
      </w:tr>
      <w:tr>
        <w:trPr>
          <w:trHeight w:val="135"/>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40" w:type="dxa"/>
            <w:vAlign w:val="bottom"/>
            <w:vMerge w:val="restart"/>
          </w:tcPr>
          <w:p>
            <w:pPr>
              <w:spacing w:after="0"/>
              <w:rPr>
                <w:sz w:val="11"/>
                <w:szCs w:val="11"/>
                <w:color w:val="auto"/>
              </w:rPr>
            </w:pPr>
          </w:p>
        </w:tc>
        <w:tc>
          <w:tcPr>
            <w:tcW w:w="13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1"/>
                <w:szCs w:val="11"/>
                <w:color w:val="auto"/>
              </w:rPr>
            </w:pPr>
          </w:p>
        </w:tc>
        <w:tc>
          <w:tcPr>
            <w:tcW w:w="1080" w:type="dxa"/>
            <w:vAlign w:val="bottom"/>
          </w:tcPr>
          <w:p>
            <w:pPr>
              <w:jc w:val="center"/>
              <w:ind w:right="16"/>
              <w:spacing w:after="0" w:line="135"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1"/>
                <w:szCs w:val="11"/>
                <w:color w:val="auto"/>
              </w:rPr>
            </w:pPr>
          </w:p>
        </w:tc>
        <w:tc>
          <w:tcPr>
            <w:tcW w:w="150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80" w:type="dxa"/>
            <w:vAlign w:val="bottom"/>
          </w:tcPr>
          <w:p>
            <w:pPr>
              <w:jc w:val="center"/>
              <w:ind w:right="36"/>
              <w:spacing w:after="0" w:line="135"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Percentage </w:t>
            </w:r>
            <w:r>
              <w:rPr>
                <w:rFonts w:ascii="Times New Roman" w:cs="Times New Roman" w:eastAsia="Times New Roman" w:hAnsi="Times New Roman"/>
                <w:sz w:val="18"/>
                <w:szCs w:val="18"/>
                <w:b w:val="1"/>
                <w:bCs w:val="1"/>
                <w:color w:val="auto"/>
                <w:w w:val="98"/>
                <w:vertAlign w:val="superscript"/>
              </w:rPr>
              <w:t>(1)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Percentage </w:t>
            </w:r>
            <w:r>
              <w:rPr>
                <w:rFonts w:ascii="Times New Roman" w:cs="Times New Roman" w:eastAsia="Times New Roman" w:hAnsi="Times New Roman"/>
                <w:sz w:val="18"/>
                <w:szCs w:val="18"/>
                <w:b w:val="1"/>
                <w:bCs w:val="1"/>
                <w:color w:val="auto"/>
                <w:w w:val="98"/>
                <w:vertAlign w:val="superscript"/>
              </w:rPr>
              <w:t>(1)</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7"/>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Nonredeemable noncontrolling interests: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400" w:type="dxa"/>
            <w:vAlign w:val="bottom"/>
            <w:gridSpan w:val="2"/>
          </w:tcPr>
          <w:p>
            <w:pPr>
              <w:ind w:left="140"/>
              <w:spacing w:after="0" w:line="274" w:lineRule="exact"/>
              <w:rPr>
                <w:sz w:val="20"/>
                <w:szCs w:val="20"/>
                <w:color w:val="auto"/>
              </w:rPr>
            </w:pPr>
            <w:r>
              <w:rPr>
                <w:rFonts w:ascii="Times New Roman" w:cs="Times New Roman" w:eastAsia="Times New Roman" w:hAnsi="Times New Roman"/>
                <w:sz w:val="31"/>
                <w:szCs w:val="31"/>
                <w:color w:val="auto"/>
                <w:vertAlign w:val="subscript"/>
              </w:rPr>
              <w:t>Ark</w:t>
            </w:r>
            <w:r>
              <w:rPr>
                <w:rFonts w:ascii="Times New Roman" w:cs="Times New Roman" w:eastAsia="Times New Roman" w:hAnsi="Times New Roman"/>
                <w:sz w:val="11"/>
                <w:szCs w:val="11"/>
                <w:color w:val="auto"/>
              </w:rPr>
              <w:t xml:space="preserve"> (2)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27.9 %</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447.8</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27.9 %  $</w:t>
            </w: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465.2</w:t>
            </w:r>
          </w:p>
        </w:tc>
        <w:tc>
          <w:tcPr>
            <w:tcW w:w="0" w:type="dxa"/>
            <w:vAlign w:val="bottom"/>
          </w:tcPr>
          <w:p>
            <w:pPr>
              <w:spacing w:after="0"/>
              <w:rPr>
                <w:sz w:val="1"/>
                <w:szCs w:val="1"/>
                <w:color w:val="auto"/>
              </w:rPr>
            </w:pPr>
          </w:p>
        </w:tc>
      </w:tr>
      <w:tr>
        <w:trPr>
          <w:trHeight w:val="257"/>
        </w:trPr>
        <w:tc>
          <w:tcPr>
            <w:tcW w:w="3400" w:type="dxa"/>
            <w:vAlign w:val="bottom"/>
            <w:gridSpan w:val="2"/>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Kudu </w:t>
            </w:r>
            <w:r>
              <w:rPr>
                <w:rFonts w:ascii="Times New Roman" w:cs="Times New Roman" w:eastAsia="Times New Roman" w:hAnsi="Times New Roman"/>
                <w:sz w:val="23"/>
                <w:szCs w:val="23"/>
                <w:color w:val="auto"/>
                <w:vertAlign w:val="superscript"/>
              </w:rPr>
              <w:t>(3)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38"/>
        </w:trPr>
        <w:tc>
          <w:tcPr>
            <w:tcW w:w="3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HG Global</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75"/>
        </w:trPr>
        <w:tc>
          <w:tcPr>
            <w:tcW w:w="3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Distinguished </w:t>
            </w:r>
            <w:r>
              <w:rPr>
                <w:rFonts w:ascii="Times New Roman" w:cs="Times New Roman" w:eastAsia="Times New Roman" w:hAnsi="Times New Roman"/>
                <w:sz w:val="23"/>
                <w:szCs w:val="23"/>
                <w:color w:val="auto"/>
                <w:vertAlign w:val="superscript"/>
              </w:rPr>
              <w:t>(4)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13.1 %</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38"/>
        </w:trPr>
        <w:tc>
          <w:tcPr>
            <w:tcW w:w="3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various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w:t>
            </w:r>
          </w:p>
        </w:tc>
        <w:tc>
          <w:tcPr>
            <w:tcW w:w="140" w:type="dxa"/>
            <w:vAlign w:val="bottom"/>
          </w:tcPr>
          <w:p>
            <w:pPr>
              <w:spacing w:after="0"/>
              <w:rPr>
                <w:sz w:val="20"/>
                <w:szCs w:val="20"/>
                <w:color w:val="auto"/>
              </w:rPr>
            </w:pP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various</w:t>
            </w: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155"/>
        </w:trPr>
        <w:tc>
          <w:tcPr>
            <w:tcW w:w="3400" w:type="dxa"/>
            <w:vAlign w:val="bottom"/>
            <w:gridSpan w:val="2"/>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nonredeemable noncontrolling</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671.0</w:t>
            </w: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interests</w:t>
            </w:r>
          </w:p>
        </w:tc>
        <w:tc>
          <w:tcPr>
            <w:tcW w:w="1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698.2</w:t>
            </w:r>
          </w:p>
        </w:tc>
        <w:tc>
          <w:tcPr>
            <w:tcW w:w="0" w:type="dxa"/>
            <w:vAlign w:val="bottom"/>
          </w:tcPr>
          <w:p>
            <w:pPr>
              <w:spacing w:after="0"/>
              <w:rPr>
                <w:sz w:val="1"/>
                <w:szCs w:val="1"/>
                <w:color w:val="auto"/>
              </w:rPr>
            </w:pP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20" w:right="980" w:hanging="169"/>
        <w:spacing w:after="0" w:line="271" w:lineRule="auto"/>
        <w:tabs>
          <w:tab w:leader="none" w:pos="403"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nonredeemable noncontrolling percentage represents the basic ownership interests held by noncontrolling shareholders with the exception of HG Global, for which the nonredeemable noncontrolling percentage represents the preferred share ownership held by noncontrolling shareholders.</w:t>
      </w:r>
    </w:p>
    <w:p>
      <w:pPr>
        <w:ind w:left="400" w:hanging="149"/>
        <w:spacing w:after="0" w:line="192" w:lineRule="auto"/>
        <w:tabs>
          <w:tab w:leader="none" w:pos="40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of March 31, 2026 and December 31, 2025, Ark’s nonredeemable noncontrolling interests include $52.5 and $58.6 related to management’s equity incentives.</w:t>
      </w:r>
    </w:p>
    <w:p>
      <w:pPr>
        <w:spacing w:after="0" w:line="3" w:lineRule="exact"/>
        <w:rPr>
          <w:rFonts w:ascii="Times New Roman" w:cs="Times New Roman" w:eastAsia="Times New Roman" w:hAnsi="Times New Roman"/>
          <w:sz w:val="19"/>
          <w:szCs w:val="19"/>
          <w:color w:val="auto"/>
          <w:vertAlign w:val="superscript"/>
        </w:rPr>
      </w:pPr>
    </w:p>
    <w:p>
      <w:pPr>
        <w:ind w:left="400" w:hanging="149"/>
        <w:spacing w:after="0" w:line="189" w:lineRule="auto"/>
        <w:tabs>
          <w:tab w:leader="none" w:pos="40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of March 31, 2026 and December 31, 2025, Kudu’s nonredeemable noncontrolling interests include $42.7 and $52.3 related to management’s equity incentives.</w:t>
      </w:r>
    </w:p>
    <w:p>
      <w:pPr>
        <w:spacing w:after="0" w:line="3" w:lineRule="exact"/>
        <w:rPr>
          <w:rFonts w:ascii="Times New Roman" w:cs="Times New Roman" w:eastAsia="Times New Roman" w:hAnsi="Times New Roman"/>
          <w:sz w:val="19"/>
          <w:szCs w:val="19"/>
          <w:color w:val="auto"/>
          <w:vertAlign w:val="superscript"/>
        </w:rPr>
      </w:pPr>
    </w:p>
    <w:p>
      <w:pPr>
        <w:ind w:left="400" w:hanging="149"/>
        <w:spacing w:after="0" w:line="189" w:lineRule="auto"/>
        <w:tabs>
          <w:tab w:leader="none" w:pos="40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of March 31, 2026 and December 31, 2025, Distinguished’s nonredeemable noncontrolling interests include $32.3 and $33.3 related to management’s equity incentives.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Segment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White Mountains conducted its operations through four reportable segments: (1) Ark/WM Outrigger, (2) Kudu, (3) HG Global and</w:t>
      </w:r>
    </w:p>
    <w:p>
      <w:pPr>
        <w:spacing w:after="0" w:line="27" w:lineRule="exact"/>
        <w:rPr>
          <w:sz w:val="20"/>
          <w:szCs w:val="20"/>
          <w:color w:val="auto"/>
        </w:rPr>
      </w:pPr>
    </w:p>
    <w:p>
      <w:pPr>
        <w:ind w:firstLine="8"/>
        <w:spacing w:after="0" w:line="250"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Distinguished, with its remaining operating businesses, holding companies and other assets included in Other Operations. White Mountains has made its segment determination based on consideration of the following criteria: (i) the nature of the business activities of each of the Company’s subsidiaries and affiliates; (ii) the manner in which the Company’s subsidiaries and affiliates are organized; (iii) the existence of primary managers responsible for specific subsidiaries and affiliates; and (iv) the organization of information provided to the Company’s CODM and the Board of Directors. The Company’s CODM is its Chief Executive Officer. The CODM utilizes each segment’s pre-tax income (loss) in assessing each segment’s performance and allocating resources. Other measures of segment profitability are also reviewed by the CODM. Significant intercompany transactions among White Mountains’s segments have been eliminated herein.</w:t>
      </w:r>
    </w:p>
    <w:p>
      <w:pPr>
        <w:spacing w:after="0" w:line="2" w:lineRule="exact"/>
        <w:rPr>
          <w:rFonts w:ascii="Times New Roman" w:cs="Times New Roman" w:eastAsia="Times New Roman" w:hAnsi="Times New Roman"/>
          <w:sz w:val="18"/>
          <w:szCs w:val="18"/>
          <w:color w:val="auto"/>
        </w:rPr>
      </w:pPr>
    </w:p>
    <w:p>
      <w:pPr>
        <w:ind w:right="24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December 5, 2025, White Mountains completed the Bamboo Sale Transaction. As a result, White Mountains deconsolidated the Bamboo Group on December 5, 2025, and Bamboo is no longer a reportable segment. Through December 5, 2025, Bamboo’s results of operations are presented within the Bamboo segment. White Mountains’s noncontrolling equity interest in the Bamboo SPV is accounted for at fair value in other long-term investments within Other Operations. See </w:t>
      </w:r>
      <w:r>
        <w:rPr>
          <w:rFonts w:ascii="Times New Roman" w:cs="Times New Roman" w:eastAsia="Times New Roman" w:hAnsi="Times New Roman"/>
          <w:sz w:val="18"/>
          <w:szCs w:val="18"/>
          <w:b w:val="1"/>
          <w:bCs w:val="1"/>
          <w:color w:val="auto"/>
        </w:rPr>
        <w:t>Note 2 — “Significant Transactions.”</w:t>
      </w:r>
    </w:p>
    <w:p>
      <w:pPr>
        <w:ind w:right="80"/>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September 2, 2025, White Mountains completed the Distinguished Transaction. As a result, White Mountains began consolidating Distinguished in its financial statements on September 2, 2025. See </w:t>
      </w:r>
      <w:r>
        <w:rPr>
          <w:rFonts w:ascii="Times New Roman" w:cs="Times New Roman" w:eastAsia="Times New Roman" w:hAnsi="Times New Roman"/>
          <w:sz w:val="18"/>
          <w:szCs w:val="18"/>
          <w:b w:val="1"/>
          <w:bCs w:val="1"/>
          <w:color w:val="auto"/>
        </w:rPr>
        <w:t>Note 2 — “Significant Transactions.”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tables present White Mountains’s pre-tax financial results by segment for the three months ended March 31, 2026 and 2025:</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1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Ark/WM Outrigger</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Ark</w:t>
            </w:r>
          </w:p>
        </w:tc>
        <w:tc>
          <w:tcPr>
            <w:tcW w:w="120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WM Outrigger</w:t>
            </w:r>
          </w:p>
        </w:tc>
        <w:tc>
          <w:tcPr>
            <w:tcW w:w="240" w:type="dxa"/>
            <w:vAlign w:val="bottom"/>
          </w:tcPr>
          <w:p>
            <w:pPr>
              <w:spacing w:after="0"/>
              <w:rPr>
                <w:sz w:val="12"/>
                <w:szCs w:val="12"/>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Kudu</w:t>
            </w:r>
          </w:p>
        </w:tc>
        <w:tc>
          <w:tcPr>
            <w:tcW w:w="12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HG Global</w:t>
            </w:r>
          </w:p>
        </w:tc>
        <w:tc>
          <w:tcPr>
            <w:tcW w:w="140" w:type="dxa"/>
            <w:vAlign w:val="bottom"/>
          </w:tcPr>
          <w:p>
            <w:pPr>
              <w:spacing w:after="0"/>
              <w:rPr>
                <w:sz w:val="12"/>
                <w:szCs w:val="12"/>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Distinguished</w:t>
            </w: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74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Earned insurance premiums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00" w:type="dxa"/>
            <w:vAlign w:val="bottom"/>
          </w:tcPr>
          <w:p>
            <w:pPr>
              <w:spacing w:after="0"/>
              <w:rPr>
                <w:sz w:val="20"/>
                <w:szCs w:val="20"/>
                <w:color w:val="auto"/>
              </w:rPr>
            </w:pP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384.9</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Net investment income </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71.4</w:t>
            </w:r>
          </w:p>
        </w:tc>
        <w:tc>
          <w:tcPr>
            <w:tcW w:w="0" w:type="dxa"/>
            <w:vAlign w:val="bottom"/>
          </w:tcPr>
          <w:p>
            <w:pPr>
              <w:spacing w:after="0"/>
              <w:rPr>
                <w:sz w:val="1"/>
                <w:szCs w:val="1"/>
                <w:color w:val="auto"/>
              </w:rPr>
            </w:pPr>
          </w:p>
        </w:tc>
      </w:tr>
      <w:tr>
        <w:trPr>
          <w:trHeight w:val="144"/>
        </w:trPr>
        <w:tc>
          <w:tcPr>
            <w:tcW w:w="31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Net realized and unrealized investment gains</w:t>
            </w:r>
          </w:p>
        </w:tc>
        <w:tc>
          <w:tcPr>
            <w:tcW w:w="2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0" w:type="dxa"/>
            <w:vAlign w:val="bottom"/>
          </w:tcPr>
          <w:p>
            <w:pPr>
              <w:spacing w:after="0"/>
              <w:rPr>
                <w:sz w:val="1"/>
                <w:szCs w:val="1"/>
                <w:color w:val="auto"/>
              </w:rPr>
            </w:pPr>
          </w:p>
        </w:tc>
      </w:tr>
      <w:tr>
        <w:trPr>
          <w:trHeight w:val="193"/>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(losses)</w:t>
            </w:r>
          </w:p>
        </w:tc>
        <w:tc>
          <w:tcPr>
            <w:tcW w:w="2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1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Net realized and unrealized investment</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gains (losses) from investment in</w:t>
            </w:r>
          </w:p>
        </w:tc>
        <w:tc>
          <w:tcPr>
            <w:tcW w:w="26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2"/>
                <w:szCs w:val="12"/>
                <w:color w:val="auto"/>
              </w:rPr>
            </w:pPr>
          </w:p>
        </w:tc>
        <w:tc>
          <w:tcPr>
            <w:tcW w:w="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2"/>
                <w:szCs w:val="12"/>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(65.2)</w:t>
            </w:r>
          </w:p>
        </w:tc>
        <w:tc>
          <w:tcPr>
            <w:tcW w:w="0" w:type="dxa"/>
            <w:vAlign w:val="bottom"/>
          </w:tcPr>
          <w:p>
            <w:pPr>
              <w:spacing w:after="0"/>
              <w:rPr>
                <w:sz w:val="1"/>
                <w:szCs w:val="1"/>
                <w:color w:val="auto"/>
              </w:rPr>
            </w:pPr>
          </w:p>
        </w:tc>
      </w:tr>
      <w:tr>
        <w:trPr>
          <w:trHeight w:val="203"/>
        </w:trPr>
        <w:tc>
          <w:tcPr>
            <w:tcW w:w="3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MediaAlpha</w:t>
            </w:r>
          </w:p>
        </w:tc>
        <w:tc>
          <w:tcPr>
            <w:tcW w:w="2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 from BAM Surplus Notes</w:t>
            </w:r>
          </w:p>
        </w:tc>
        <w:tc>
          <w:tcPr>
            <w:tcW w:w="2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 and fee revenues</w:t>
            </w:r>
          </w:p>
        </w:tc>
        <w:tc>
          <w:tcPr>
            <w:tcW w:w="2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43.2</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gain on sale of the Bamboo Group</w:t>
            </w:r>
          </w:p>
        </w:tc>
        <w:tc>
          <w:tcPr>
            <w:tcW w:w="2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rPr>
                <w:sz w:val="1"/>
                <w:szCs w:val="1"/>
                <w:color w:val="auto"/>
              </w:rPr>
            </w:pPr>
          </w:p>
        </w:tc>
      </w:tr>
      <w:tr>
        <w:trPr>
          <w:trHeight w:val="238"/>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63.4</w:t>
            </w:r>
          </w:p>
        </w:tc>
        <w:tc>
          <w:tcPr>
            <w:tcW w:w="0" w:type="dxa"/>
            <w:vAlign w:val="bottom"/>
          </w:tcPr>
          <w:p>
            <w:pPr>
              <w:spacing w:after="0"/>
              <w:rPr>
                <w:sz w:val="1"/>
                <w:szCs w:val="1"/>
                <w:color w:val="auto"/>
              </w:rPr>
            </w:pPr>
          </w:p>
        </w:tc>
      </w:tr>
      <w:tr>
        <w:trPr>
          <w:trHeight w:val="223"/>
        </w:trPr>
        <w:tc>
          <w:tcPr>
            <w:tcW w:w="3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2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517.8</w:t>
            </w:r>
          </w:p>
        </w:tc>
        <w:tc>
          <w:tcPr>
            <w:tcW w:w="0" w:type="dxa"/>
            <w:vAlign w:val="bottom"/>
          </w:tcPr>
          <w:p>
            <w:pPr>
              <w:spacing w:after="0"/>
              <w:rPr>
                <w:sz w:val="1"/>
                <w:szCs w:val="1"/>
                <w:color w:val="auto"/>
              </w:rPr>
            </w:pPr>
          </w:p>
        </w:tc>
      </w:tr>
      <w:tr>
        <w:trPr>
          <w:trHeight w:val="214"/>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and LAE</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207.0</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expenses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102.2</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2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42.7</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Broker commission expenses</w:t>
            </w:r>
          </w:p>
        </w:tc>
        <w:tc>
          <w:tcPr>
            <w:tcW w:w="2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General and administrative expenses </w:t>
            </w:r>
            <w:r>
              <w:rPr>
                <w:rFonts w:ascii="Times New Roman" w:cs="Times New Roman" w:eastAsia="Times New Roman" w:hAnsi="Times New Roman"/>
                <w:sz w:val="18"/>
                <w:szCs w:val="18"/>
                <w:color w:val="auto"/>
                <w:vertAlign w:val="superscript"/>
              </w:rPr>
              <w:t>(2) (3)</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144.9</w:t>
            </w:r>
          </w:p>
        </w:tc>
        <w:tc>
          <w:tcPr>
            <w:tcW w:w="0" w:type="dxa"/>
            <w:vAlign w:val="bottom"/>
          </w:tcPr>
          <w:p>
            <w:pPr>
              <w:spacing w:after="0"/>
              <w:rPr>
                <w:sz w:val="1"/>
                <w:szCs w:val="1"/>
                <w:color w:val="auto"/>
              </w:rPr>
            </w:pPr>
          </w:p>
        </w:tc>
      </w:tr>
      <w:tr>
        <w:trPr>
          <w:trHeight w:val="144"/>
        </w:trPr>
        <w:tc>
          <w:tcPr>
            <w:tcW w:w="314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Change in fair value of contingent</w:t>
            </w:r>
          </w:p>
        </w:tc>
        <w:tc>
          <w:tcPr>
            <w:tcW w:w="2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2"/>
                <w:szCs w:val="12"/>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194"/>
        </w:trPr>
        <w:tc>
          <w:tcPr>
            <w:tcW w:w="3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consideration</w:t>
            </w:r>
          </w:p>
        </w:tc>
        <w:tc>
          <w:tcPr>
            <w:tcW w:w="2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p>
        </w:tc>
        <w:tc>
          <w:tcPr>
            <w:tcW w:w="0" w:type="dxa"/>
            <w:vAlign w:val="bottom"/>
          </w:tcPr>
          <w:p>
            <w:pPr>
              <w:spacing w:after="0"/>
              <w:rPr>
                <w:sz w:val="1"/>
                <w:szCs w:val="1"/>
                <w:color w:val="auto"/>
              </w:rPr>
            </w:pPr>
          </w:p>
        </w:tc>
      </w:tr>
      <w:tr>
        <w:trPr>
          <w:trHeight w:val="223"/>
        </w:trPr>
        <w:tc>
          <w:tcPr>
            <w:tcW w:w="3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expenses</w:t>
            </w:r>
          </w:p>
        </w:tc>
        <w:tc>
          <w:tcPr>
            <w:tcW w:w="2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543.3</w:t>
            </w:r>
          </w:p>
        </w:tc>
        <w:tc>
          <w:tcPr>
            <w:tcW w:w="0" w:type="dxa"/>
            <w:vAlign w:val="bottom"/>
          </w:tcPr>
          <w:p>
            <w:pPr>
              <w:spacing w:after="0"/>
              <w:rPr>
                <w:sz w:val="1"/>
                <w:szCs w:val="1"/>
                <w:color w:val="auto"/>
              </w:rPr>
            </w:pPr>
          </w:p>
        </w:tc>
      </w:tr>
      <w:tr>
        <w:trPr>
          <w:trHeight w:val="223"/>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Pre-tax income (loss)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0" w:type="dxa"/>
            <w:vAlign w:val="bottom"/>
          </w:tcPr>
          <w:p>
            <w:pPr>
              <w:spacing w:after="0"/>
              <w:rPr>
                <w:sz w:val="1"/>
                <w:szCs w:val="1"/>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60" w:hanging="152"/>
        <w:spacing w:after="0"/>
        <w:tabs>
          <w:tab w:leader="none" w:pos="1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Distinguished’s net investment income is included in other revenues in the consolidated statement of operations.</w:t>
      </w:r>
    </w:p>
    <w:p>
      <w:pPr>
        <w:spacing w:after="0" w:line="3" w:lineRule="exact"/>
        <w:rPr>
          <w:rFonts w:ascii="Times New Roman" w:cs="Times New Roman" w:eastAsia="Times New Roman" w:hAnsi="Times New Roman"/>
          <w:sz w:val="19"/>
          <w:szCs w:val="19"/>
          <w:color w:val="auto"/>
          <w:vertAlign w:val="superscript"/>
        </w:rPr>
      </w:pPr>
    </w:p>
    <w:p>
      <w:pPr>
        <w:ind w:left="140" w:hanging="132"/>
        <w:spacing w:after="0" w:line="224" w:lineRule="auto"/>
        <w:tabs>
          <w:tab w:leader="none" w:pos="140" w:val="left"/>
        </w:tabs>
        <w:numPr>
          <w:ilvl w:val="0"/>
          <w:numId w:val="2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Ark’s general and administrative expenses include $34.9 of other underwriting expenses.</w:t>
      </w:r>
    </w:p>
    <w:p>
      <w:pPr>
        <w:spacing w:after="0" w:line="3" w:lineRule="exact"/>
        <w:rPr>
          <w:rFonts w:ascii="Times New Roman" w:cs="Times New Roman" w:eastAsia="Times New Roman" w:hAnsi="Times New Roman"/>
          <w:sz w:val="16"/>
          <w:szCs w:val="16"/>
          <w:color w:val="auto"/>
          <w:vertAlign w:val="superscript"/>
        </w:rPr>
      </w:pPr>
    </w:p>
    <w:p>
      <w:pPr>
        <w:ind w:left="140" w:hanging="132"/>
        <w:spacing w:after="0" w:line="224" w:lineRule="auto"/>
        <w:tabs>
          <w:tab w:leader="none" w:pos="140" w:val="left"/>
        </w:tabs>
        <w:numPr>
          <w:ilvl w:val="0"/>
          <w:numId w:val="2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Distinguished’s general and administrative expenses include $7.4 of amortization of other intangible assets.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9"/>
        </w:trPr>
        <w:tc>
          <w:tcPr>
            <w:tcW w:w="3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Ark/WM Outrigger</w:t>
            </w:r>
          </w:p>
        </w:tc>
        <w:tc>
          <w:tcPr>
            <w:tcW w:w="4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3"/>
                <w:szCs w:val="13"/>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Ark</w:t>
            </w:r>
          </w:p>
        </w:tc>
        <w:tc>
          <w:tcPr>
            <w:tcW w:w="1220" w:type="dxa"/>
            <w:vAlign w:val="bottom"/>
            <w:gridSpan w:val="3"/>
          </w:tcPr>
          <w:p>
            <w:pPr>
              <w:ind w:left="100"/>
              <w:spacing w:after="0" w:line="151" w:lineRule="exact"/>
              <w:rPr>
                <w:sz w:val="20"/>
                <w:szCs w:val="20"/>
                <w:color w:val="auto"/>
              </w:rPr>
            </w:pPr>
            <w:r>
              <w:rPr>
                <w:rFonts w:ascii="Times New Roman" w:cs="Times New Roman" w:eastAsia="Times New Roman" w:hAnsi="Times New Roman"/>
                <w:sz w:val="14"/>
                <w:szCs w:val="14"/>
                <w:b w:val="1"/>
                <w:bCs w:val="1"/>
                <w:color w:val="auto"/>
              </w:rPr>
              <w:t>WM Outrigger</w:t>
            </w:r>
          </w:p>
        </w:tc>
        <w:tc>
          <w:tcPr>
            <w:tcW w:w="180" w:type="dxa"/>
            <w:vAlign w:val="bottom"/>
          </w:tcPr>
          <w:p>
            <w:pPr>
              <w:spacing w:after="0"/>
              <w:rPr>
                <w:sz w:val="13"/>
                <w:szCs w:val="13"/>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Kudu</w:t>
            </w:r>
          </w:p>
        </w:tc>
        <w:tc>
          <w:tcPr>
            <w:tcW w:w="180" w:type="dxa"/>
            <w:vAlign w:val="bottom"/>
          </w:tcPr>
          <w:p>
            <w:pPr>
              <w:spacing w:after="0"/>
              <w:rPr>
                <w:sz w:val="13"/>
                <w:szCs w:val="13"/>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HG Global</w:t>
            </w:r>
          </w:p>
        </w:tc>
        <w:tc>
          <w:tcPr>
            <w:tcW w:w="140" w:type="dxa"/>
            <w:vAlign w:val="bottom"/>
          </w:tcPr>
          <w:p>
            <w:pPr>
              <w:spacing w:after="0"/>
              <w:rPr>
                <w:sz w:val="13"/>
                <w:szCs w:val="13"/>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Bamboo</w:t>
            </w:r>
          </w:p>
        </w:tc>
        <w:tc>
          <w:tcPr>
            <w:tcW w:w="120" w:type="dxa"/>
            <w:vAlign w:val="bottom"/>
          </w:tcPr>
          <w:p>
            <w:pPr>
              <w:spacing w:after="0"/>
              <w:rPr>
                <w:sz w:val="13"/>
                <w:szCs w:val="13"/>
                <w:color w:val="auto"/>
              </w:rPr>
            </w:pPr>
          </w:p>
        </w:tc>
        <w:tc>
          <w:tcPr>
            <w:tcW w:w="96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3"/>
                <w:szCs w:val="13"/>
                <w:color w:val="auto"/>
              </w:rPr>
            </w:pPr>
          </w:p>
        </w:tc>
        <w:tc>
          <w:tcPr>
            <w:tcW w:w="70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Earned insurance premiums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00" w:type="dxa"/>
            <w:vAlign w:val="bottom"/>
          </w:tcPr>
          <w:p>
            <w:pPr>
              <w:spacing w:after="0"/>
              <w:rPr>
                <w:sz w:val="20"/>
                <w:szCs w:val="20"/>
                <w:color w:val="auto"/>
              </w:rPr>
            </w:pPr>
          </w:p>
        </w:tc>
        <w:tc>
          <w:tcPr>
            <w:tcW w:w="680" w:type="dxa"/>
            <w:vAlign w:val="bottom"/>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0" w:type="dxa"/>
            <w:vAlign w:val="bottom"/>
          </w:tcPr>
          <w:p>
            <w:pPr>
              <w:spacing w:after="0"/>
              <w:rPr>
                <w:sz w:val="1"/>
                <w:szCs w:val="1"/>
                <w:color w:val="auto"/>
              </w:rPr>
            </w:pPr>
          </w:p>
        </w:tc>
      </w:tr>
      <w:tr>
        <w:trPr>
          <w:trHeight w:val="225"/>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Net investment income </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145"/>
        </w:trPr>
        <w:tc>
          <w:tcPr>
            <w:tcW w:w="328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Net realized and unrealized investment</w:t>
            </w:r>
          </w:p>
        </w:tc>
        <w:tc>
          <w:tcPr>
            <w:tcW w:w="2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192"/>
        </w:trPr>
        <w:tc>
          <w:tcPr>
            <w:tcW w:w="3280" w:type="dxa"/>
            <w:vAlign w:val="bottom"/>
            <w:gridSpan w:val="2"/>
          </w:tcPr>
          <w:p>
            <w:pPr>
              <w:ind w:left="140"/>
              <w:spacing w:after="0" w:line="192" w:lineRule="exact"/>
              <w:rPr>
                <w:sz w:val="20"/>
                <w:szCs w:val="20"/>
                <w:color w:val="auto"/>
              </w:rPr>
            </w:pPr>
            <w:r>
              <w:rPr>
                <w:rFonts w:ascii="Times New Roman" w:cs="Times New Roman" w:eastAsia="Times New Roman" w:hAnsi="Times New Roman"/>
                <w:sz w:val="14"/>
                <w:szCs w:val="14"/>
                <w:color w:val="auto"/>
              </w:rPr>
              <w:t xml:space="preserve">gains (losses) </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2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Net realized and unrealized investment</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gains (losses) from investment in</w:t>
            </w:r>
          </w:p>
        </w:tc>
        <w:tc>
          <w:tcPr>
            <w:tcW w:w="26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2"/>
                <w:szCs w:val="12"/>
                <w:color w:val="auto"/>
              </w:rPr>
            </w:pPr>
          </w:p>
        </w:tc>
        <w:tc>
          <w:tcPr>
            <w:tcW w:w="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2"/>
                <w:szCs w:val="12"/>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198"/>
        </w:trPr>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MediaAlpha</w:t>
            </w:r>
          </w:p>
        </w:tc>
        <w:tc>
          <w:tcPr>
            <w:tcW w:w="2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income from BAM Surplus Notes</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Commission and fee revenues</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3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32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0" w:type="dxa"/>
            <w:vAlign w:val="bottom"/>
          </w:tcPr>
          <w:p>
            <w:pPr>
              <w:spacing w:after="0"/>
              <w:rPr>
                <w:sz w:val="1"/>
                <w:szCs w:val="1"/>
                <w:color w:val="auto"/>
              </w:rPr>
            </w:pPr>
          </w:p>
        </w:tc>
      </w:tr>
      <w:tr>
        <w:trPr>
          <w:trHeight w:val="218"/>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 and LAE</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0" w:type="dxa"/>
            <w:vAlign w:val="bottom"/>
          </w:tcPr>
          <w:p>
            <w:pPr>
              <w:spacing w:after="0"/>
              <w:rPr>
                <w:sz w:val="1"/>
                <w:szCs w:val="1"/>
                <w:color w:val="auto"/>
              </w:rPr>
            </w:pPr>
          </w:p>
        </w:tc>
      </w:tr>
      <w:tr>
        <w:trPr>
          <w:trHeight w:val="229"/>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Acquisition expenses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3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Broker commission expenses</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5"/>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General and administrative expenses </w:t>
            </w:r>
            <w:r>
              <w:rPr>
                <w:rFonts w:ascii="Times New Roman" w:cs="Times New Roman" w:eastAsia="Times New Roman" w:hAnsi="Times New Roman"/>
                <w:sz w:val="18"/>
                <w:szCs w:val="18"/>
                <w:color w:val="auto"/>
                <w:vertAlign w:val="superscript"/>
              </w:rPr>
              <w:t>(2) (3)</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149"/>
        </w:trPr>
        <w:tc>
          <w:tcPr>
            <w:tcW w:w="32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 in fair value of contingent</w:t>
            </w:r>
          </w:p>
        </w:tc>
        <w:tc>
          <w:tcPr>
            <w:tcW w:w="2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2"/>
                <w:szCs w:val="12"/>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3"/>
        </w:trPr>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consideration</w:t>
            </w: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3"/>
        </w:trPr>
        <w:tc>
          <w:tcPr>
            <w:tcW w:w="32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expenses</w:t>
            </w: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Pre-tax income (loss)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1"/>
        </w:trPr>
        <w:tc>
          <w:tcPr>
            <w:tcW w:w="3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140" w:hanging="132"/>
        <w:spacing w:after="0"/>
        <w:tabs>
          <w:tab w:leader="none" w:pos="140" w:val="left"/>
        </w:tabs>
        <w:numPr>
          <w:ilvl w:val="0"/>
          <w:numId w:val="2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Bamboo’s net investment income and net realized and unrealized investment gains (losses) are included in other revenues in the consolidated statement of operations.</w:t>
      </w:r>
    </w:p>
    <w:p>
      <w:pPr>
        <w:ind w:left="140" w:hanging="132"/>
        <w:spacing w:after="0"/>
        <w:tabs>
          <w:tab w:leader="none" w:pos="140"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Ark’s general and administrative expenses include $28.5 of other underwriting expenses.</w:t>
      </w:r>
    </w:p>
    <w:p>
      <w:pPr>
        <w:spacing w:after="0" w:line="11"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Bamboo’s general and administrative expenses include $4.0 of amortization of other intangible assets.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White Mountains’s revenues from external customers by country for three months ended March 31, 2026 and 2025:</w:t>
      </w:r>
    </w:p>
    <w:p>
      <w:pPr>
        <w:spacing w:after="0" w:line="129" w:lineRule="exact"/>
        <w:rPr>
          <w:sz w:val="20"/>
          <w:szCs w:val="20"/>
          <w:color w:val="auto"/>
        </w:rPr>
      </w:pPr>
    </w:p>
    <w:tbl>
      <w:tblPr>
        <w:tblLayout w:type="fixed"/>
        <w:tblInd w:w="1060" w:type="dxa"/>
        <w:tblCellMar>
          <w:top w:w="0" w:type="dxa"/>
          <w:left w:w="0" w:type="dxa"/>
          <w:bottom w:w="0" w:type="dxa"/>
          <w:right w:w="0" w:type="dxa"/>
        </w:tblCellMar>
      </w:tblPr>
      <w:tr>
        <w:trPr>
          <w:trHeight w:val="210"/>
        </w:trPr>
        <w:tc>
          <w:tcPr>
            <w:tcW w:w="24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3060" w:type="dxa"/>
            <w:vAlign w:val="bottom"/>
            <w:tcBorders>
              <w:top w:val="single" w:sz="8" w:color="auto"/>
              <w:bottom w:val="single" w:sz="8" w:color="auto"/>
            </w:tcBorders>
            <w:gridSpan w:val="6"/>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3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r>
      <w:tr>
        <w:trPr>
          <w:trHeight w:val="196"/>
        </w:trPr>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20" w:type="dxa"/>
            <w:vAlign w:val="bottom"/>
          </w:tcPr>
          <w:p>
            <w:pPr>
              <w:spacing w:after="0"/>
              <w:rPr>
                <w:sz w:val="17"/>
                <w:szCs w:val="17"/>
                <w:color w:val="auto"/>
              </w:rPr>
            </w:pPr>
          </w:p>
        </w:tc>
        <w:tc>
          <w:tcPr>
            <w:tcW w:w="122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United Kingdom</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Bermuda</w:t>
            </w:r>
          </w:p>
        </w:tc>
        <w:tc>
          <w:tcPr>
            <w:tcW w:w="14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3"/>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Earned insurance premiums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4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231.2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40" w:type="dxa"/>
            <w:vAlign w:val="bottom"/>
          </w:tcPr>
          <w:p>
            <w:pPr>
              <w:spacing w:after="0"/>
              <w:rPr>
                <w:sz w:val="21"/>
                <w:szCs w:val="21"/>
                <w:color w:val="auto"/>
              </w:rPr>
            </w:pPr>
          </w:p>
        </w:tc>
        <w:tc>
          <w:tcPr>
            <w:tcW w:w="80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384.9</w:t>
            </w:r>
          </w:p>
        </w:tc>
      </w:tr>
      <w:tr>
        <w:trPr>
          <w:trHeight w:val="256"/>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Commission and fee revenues</w:t>
            </w:r>
          </w:p>
        </w:tc>
        <w:tc>
          <w:tcPr>
            <w:tcW w:w="140" w:type="dxa"/>
            <w:vAlign w:val="bottom"/>
          </w:tcPr>
          <w:p>
            <w:pPr>
              <w:spacing w:after="0"/>
              <w:rPr>
                <w:sz w:val="22"/>
                <w:szCs w:val="22"/>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43.2</w:t>
            </w:r>
          </w:p>
        </w:tc>
      </w:tr>
      <w:tr>
        <w:trPr>
          <w:trHeight w:val="256"/>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revenues </w:t>
            </w:r>
            <w:r>
              <w:rPr>
                <w:rFonts w:ascii="Times New Roman" w:cs="Times New Roman" w:eastAsia="Times New Roman" w:hAnsi="Times New Roman"/>
                <w:sz w:val="9"/>
                <w:szCs w:val="9"/>
                <w:color w:val="auto"/>
              </w:rPr>
              <w:t>(1)</w:t>
            </w:r>
          </w:p>
        </w:tc>
        <w:tc>
          <w:tcPr>
            <w:tcW w:w="140" w:type="dxa"/>
            <w:vAlign w:val="bottom"/>
          </w:tcPr>
          <w:p>
            <w:pPr>
              <w:spacing w:after="0"/>
              <w:rPr>
                <w:sz w:val="22"/>
                <w:szCs w:val="22"/>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56.4</w:t>
            </w:r>
          </w:p>
        </w:tc>
      </w:tr>
      <w:tr>
        <w:trPr>
          <w:trHeight w:val="223"/>
        </w:trPr>
        <w:tc>
          <w:tcPr>
            <w:tcW w:w="26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96.2</w:t>
            </w:r>
          </w:p>
        </w:tc>
        <w:tc>
          <w:tcPr>
            <w:tcW w:w="1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231.2</w:t>
            </w:r>
          </w:p>
        </w:tc>
        <w:tc>
          <w:tcPr>
            <w:tcW w:w="1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4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484.5</w:t>
            </w: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220" w:hanging="131"/>
        <w:spacing w:after="0"/>
        <w:tabs>
          <w:tab w:leader="none" w:pos="220"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Amounts include revenues from external customers related to certain consolidated Other Operating Businesses.</w:t>
      </w:r>
    </w:p>
    <w:p>
      <w:pPr>
        <w:spacing w:after="0" w:line="139"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3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900" w:type="dxa"/>
            <w:vAlign w:val="bottom"/>
            <w:tcBorders>
              <w:top w:val="single" w:sz="8" w:color="auto"/>
              <w:bottom w:val="single" w:sz="8" w:color="auto"/>
            </w:tcBorders>
            <w:gridSpan w:val="6"/>
          </w:tcPr>
          <w:p>
            <w:pPr>
              <w:jc w:val="center"/>
              <w:ind w:left="156"/>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r>
      <w:tr>
        <w:trPr>
          <w:trHeight w:val="196"/>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4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United Kingdom</w:t>
            </w:r>
          </w:p>
        </w:tc>
        <w:tc>
          <w:tcPr>
            <w:tcW w:w="26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Bermuda</w:t>
            </w: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4"/>
        </w:trPr>
        <w:tc>
          <w:tcPr>
            <w:tcW w:w="3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Earned insurance premiums</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w:t>
            </w:r>
          </w:p>
        </w:tc>
      </w:tr>
      <w:tr>
        <w:trPr>
          <w:trHeight w:val="23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Commission and fee revenues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48"/>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Other revenues </w:t>
            </w:r>
            <w:r>
              <w:rPr>
                <w:rFonts w:ascii="Times New Roman" w:cs="Times New Roman" w:eastAsia="Times New Roman" w:hAnsi="Times New Roman"/>
                <w:sz w:val="9"/>
                <w:szCs w:val="9"/>
                <w:color w:val="auto"/>
              </w:rPr>
              <w:t>(1)</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3"/>
        </w:trPr>
        <w:tc>
          <w:tcPr>
            <w:tcW w:w="33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w:t>
            </w:r>
          </w:p>
        </w:tc>
      </w:tr>
      <w:tr>
        <w:trPr>
          <w:trHeight w:val="20"/>
        </w:trPr>
        <w:tc>
          <w:tcPr>
            <w:tcW w:w="3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220" w:hanging="131"/>
        <w:spacing w:after="0"/>
        <w:tabs>
          <w:tab w:leader="none" w:pos="220" w:val="left"/>
        </w:tabs>
        <w:numPr>
          <w:ilvl w:val="0"/>
          <w:numId w:val="2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Amounts include revenues from external customers related to certain consolidated Other Operating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70" w:right="5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The following table presents White Mountains’s balance sheet information by segment as of March 31, 2026 and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94615</wp:posOffset>
            </wp:positionV>
            <wp:extent cx="58375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Ark/WM</w:t>
            </w:r>
          </w:p>
        </w:tc>
        <w:tc>
          <w:tcPr>
            <w:tcW w:w="9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Kudu</w:t>
            </w:r>
          </w:p>
        </w:tc>
        <w:tc>
          <w:tcPr>
            <w:tcW w:w="12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HG Global</w:t>
            </w:r>
          </w:p>
        </w:tc>
        <w:tc>
          <w:tcPr>
            <w:tcW w:w="12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Distinguished</w:t>
            </w:r>
          </w:p>
        </w:tc>
        <w:tc>
          <w:tcPr>
            <w:tcW w:w="12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0"/>
        </w:trPr>
        <w:tc>
          <w:tcPr>
            <w:tcW w:w="2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Balance Sheet Data</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Outrigger</w:t>
            </w:r>
          </w:p>
        </w:tc>
        <w:tc>
          <w:tcPr>
            <w:tcW w:w="9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2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7620</wp:posOffset>
            </wp:positionV>
            <wp:extent cx="58375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p>
      <w:pPr>
        <w:spacing w:after="0" w:line="50" w:lineRule="exact"/>
        <w:rPr>
          <w:sz w:val="20"/>
          <w:szCs w:val="20"/>
          <w:color w:val="auto"/>
        </w:rPr>
      </w:pPr>
    </w:p>
    <w:tbl>
      <w:tblPr>
        <w:tblLayout w:type="fixed"/>
        <w:tblInd w:w="920" w:type="dxa"/>
        <w:tblCellMar>
          <w:top w:w="0" w:type="dxa"/>
          <w:left w:w="0" w:type="dxa"/>
          <w:bottom w:w="0" w:type="dxa"/>
          <w:right w:w="0" w:type="dxa"/>
        </w:tblCellMar>
      </w:tblPr>
      <w:tr>
        <w:trPr>
          <w:trHeight w:val="212"/>
        </w:trPr>
        <w:tc>
          <w:tcPr>
            <w:tcW w:w="1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76"/>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Total investments</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3,907.4</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1,379.7</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240" w:type="dxa"/>
            <w:vAlign w:val="bottom"/>
          </w:tcPr>
          <w:p>
            <w:pPr>
              <w:spacing w:after="0"/>
              <w:rPr>
                <w:sz w:val="24"/>
                <w:szCs w:val="24"/>
                <w:color w:val="auto"/>
              </w:rPr>
            </w:pP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66.1</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2,209.4</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7,220.7</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1,447.1</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1,247.6</w:t>
            </w:r>
          </w:p>
        </w:tc>
        <w:tc>
          <w:tcPr>
            <w:tcW w:w="240" w:type="dxa"/>
            <w:vAlign w:val="bottom"/>
          </w:tcPr>
          <w:p>
            <w:pPr>
              <w:spacing w:after="0"/>
              <w:rPr>
                <w:sz w:val="23"/>
                <w:szCs w:val="23"/>
                <w:color w:val="auto"/>
              </w:rPr>
            </w:pP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701.1</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2,552.4</w:t>
            </w:r>
          </w:p>
        </w:tc>
      </w:tr>
      <w:tr>
        <w:trPr>
          <w:trHeight w:val="257"/>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5,541.4</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284.6</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r>
    </w:tbl>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w:t>
      </w:r>
    </w:p>
    <w:p>
      <w:pPr>
        <w:spacing w:after="0" w:line="167" w:lineRule="exact"/>
        <w:rPr>
          <w:sz w:val="20"/>
          <w:szCs w:val="20"/>
          <w:color w:val="auto"/>
        </w:rPr>
      </w:pPr>
    </w:p>
    <w:p>
      <w:pPr>
        <w:ind w:left="140" w:hanging="132"/>
        <w:spacing w:after="0"/>
        <w:tabs>
          <w:tab w:leader="none" w:pos="140" w:val="left"/>
        </w:tabs>
        <w:numPr>
          <w:ilvl w:val="0"/>
          <w:numId w:val="30"/>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(3)</w:t>
      </w:r>
    </w:p>
    <w:p>
      <w:pPr>
        <w:spacing w:after="0" w:line="164" w:lineRule="exact"/>
        <w:rPr>
          <w:rFonts w:ascii="Times New Roman" w:cs="Times New Roman" w:eastAsia="Times New Roman" w:hAnsi="Times New Roman"/>
          <w:sz w:val="8"/>
          <w:szCs w:val="8"/>
          <w:color w:val="auto"/>
        </w:rPr>
      </w:pPr>
    </w:p>
    <w:p>
      <w:pPr>
        <w:ind w:left="140" w:hanging="132"/>
        <w:spacing w:after="0"/>
        <w:tabs>
          <w:tab w:leader="none" w:pos="140" w:val="left"/>
        </w:tabs>
        <w:numPr>
          <w:ilvl w:val="0"/>
          <w:numId w:val="31"/>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(3)</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left="335" w:hanging="335"/>
        <w:spacing w:after="0"/>
        <w:tabs>
          <w:tab w:leader="none" w:pos="33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8,353.4</w:t>
      </w:r>
    </w:p>
    <w:p>
      <w:pPr>
        <w:spacing w:after="0" w:line="63" w:lineRule="exact"/>
        <w:rPr>
          <w:rFonts w:ascii="Times New Roman" w:cs="Times New Roman" w:eastAsia="Times New Roman" w:hAnsi="Times New Roman"/>
          <w:sz w:val="18"/>
          <w:szCs w:val="18"/>
          <w:b w:val="1"/>
          <w:bCs w:val="1"/>
          <w:color w:val="auto"/>
        </w:rPr>
      </w:pPr>
    </w:p>
    <w:p>
      <w:pPr>
        <w:ind w:left="235" w:hanging="235"/>
        <w:spacing w:after="0"/>
        <w:tabs>
          <w:tab w:leader="none" w:pos="23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13,168.9</w:t>
      </w:r>
    </w:p>
    <w:p>
      <w:pPr>
        <w:spacing w:after="0" w:line="49" w:lineRule="exact"/>
        <w:rPr>
          <w:rFonts w:ascii="Times New Roman" w:cs="Times New Roman" w:eastAsia="Times New Roman" w:hAnsi="Times New Roman"/>
          <w:sz w:val="18"/>
          <w:szCs w:val="18"/>
          <w:b w:val="1"/>
          <w:bCs w:val="1"/>
          <w:color w:val="auto"/>
        </w:rPr>
      </w:pPr>
    </w:p>
    <w:p>
      <w:pPr>
        <w:ind w:left="335" w:hanging="335"/>
        <w:spacing w:after="0"/>
        <w:tabs>
          <w:tab w:leader="none" w:pos="33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6,992.9</w:t>
      </w:r>
    </w:p>
    <w:p>
      <w:pPr>
        <w:spacing w:after="0" w:line="32" w:lineRule="exact"/>
        <w:rPr>
          <w:sz w:val="20"/>
          <w:szCs w:val="20"/>
          <w:color w:val="auto"/>
        </w:rPr>
      </w:pPr>
    </w:p>
    <w:p>
      <w:pPr>
        <w:sectPr>
          <w:pgSz w:w="11900" w:h="16838" w:orient="portrait"/>
          <w:cols w:equalWidth="0" w:num="3">
            <w:col w:w="8700" w:space="100"/>
            <w:col w:w="240" w:space="105"/>
            <w:col w:w="2095"/>
          </w:cols>
          <w:pgMar w:left="320" w:top="945" w:right="339" w:bottom="1440" w:gutter="0" w:footer="0" w:header="0"/>
          <w:type w:val="continuous"/>
        </w:sectPr>
      </w:pPr>
    </w:p>
    <w:tbl>
      <w:tblPr>
        <w:tblLayout w:type="fixed"/>
        <w:tblInd w:w="920" w:type="dxa"/>
        <w:tblCellMar>
          <w:top w:w="0" w:type="dxa"/>
          <w:left w:w="0" w:type="dxa"/>
          <w:bottom w:w="0" w:type="dxa"/>
          <w:right w:w="0" w:type="dxa"/>
        </w:tblCellMar>
      </w:tblPr>
      <w:tr>
        <w:trPr>
          <w:trHeight w:val="162"/>
        </w:trPr>
        <w:tc>
          <w:tcPr>
            <w:tcW w:w="21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Redeemable noncontrolling</w:t>
            </w:r>
          </w:p>
        </w:tc>
        <w:tc>
          <w:tcPr>
            <w:tcW w:w="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3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131.5</w:t>
            </w:r>
          </w:p>
        </w:tc>
        <w:tc>
          <w:tcPr>
            <w:tcW w:w="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4"/>
                <w:szCs w:val="14"/>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131.5</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interests</w:t>
            </w:r>
          </w:p>
        </w:tc>
        <w:tc>
          <w:tcPr>
            <w:tcW w:w="3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Total White Mountains’s</w:t>
            </w:r>
          </w:p>
        </w:tc>
        <w:tc>
          <w:tcPr>
            <w:tcW w:w="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1,231.5</w:t>
            </w:r>
          </w:p>
        </w:tc>
        <w:tc>
          <w:tcPr>
            <w:tcW w:w="4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855.7</w:t>
            </w:r>
          </w:p>
        </w:tc>
        <w:tc>
          <w:tcPr>
            <w:tcW w:w="120" w:type="dxa"/>
            <w:vAlign w:val="bottom"/>
          </w:tcPr>
          <w:p>
            <w:pPr>
              <w:spacing w:after="0"/>
              <w:rPr>
                <w:sz w:val="14"/>
                <w:szCs w:val="14"/>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220" w:type="dxa"/>
            <w:vAlign w:val="bottom"/>
            <w:vMerge w:val="restart"/>
          </w:tcPr>
          <w:p>
            <w:pPr>
              <w:jc w:val="right"/>
              <w:ind w:right="33"/>
              <w:spacing w:after="0"/>
              <w:rPr>
                <w:sz w:val="20"/>
                <w:szCs w:val="20"/>
                <w:color w:val="auto"/>
              </w:rPr>
            </w:pPr>
            <w:r>
              <w:rPr>
                <w:rFonts w:ascii="Times New Roman" w:cs="Times New Roman" w:eastAsia="Times New Roman" w:hAnsi="Times New Roman"/>
                <w:sz w:val="9"/>
                <w:szCs w:val="9"/>
                <w:color w:val="auto"/>
              </w:rPr>
              <w:t>(2)</w:t>
            </w:r>
          </w:p>
        </w:tc>
        <w:tc>
          <w:tcPr>
            <w:tcW w:w="3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214.4</w:t>
            </w:r>
          </w:p>
        </w:tc>
        <w:tc>
          <w:tcPr>
            <w:tcW w:w="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2,304.9</w:t>
            </w:r>
          </w:p>
        </w:tc>
        <w:tc>
          <w:tcPr>
            <w:tcW w:w="280" w:type="dxa"/>
            <w:vAlign w:val="bottom"/>
            <w:vMerge w:val="restart"/>
          </w:tcPr>
          <w:p>
            <w:pPr>
              <w:jc w:val="right"/>
              <w:ind w:right="73"/>
              <w:spacing w:after="0"/>
              <w:rPr>
                <w:sz w:val="20"/>
                <w:szCs w:val="20"/>
                <w:color w:val="auto"/>
              </w:rPr>
            </w:pPr>
            <w:r>
              <w:rPr>
                <w:rFonts w:ascii="Times New Roman" w:cs="Times New Roman" w:eastAsia="Times New Roman" w:hAnsi="Times New Roman"/>
                <w:sz w:val="9"/>
                <w:szCs w:val="9"/>
                <w:color w:val="auto"/>
              </w:rPr>
              <w:t>(2)</w:t>
            </w: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5,373.5</w:t>
            </w:r>
          </w:p>
        </w:tc>
        <w:tc>
          <w:tcPr>
            <w:tcW w:w="0" w:type="dxa"/>
            <w:vAlign w:val="bottom"/>
          </w:tcPr>
          <w:p>
            <w:pPr>
              <w:spacing w:after="0"/>
              <w:rPr>
                <w:sz w:val="1"/>
                <w:szCs w:val="1"/>
                <w:color w:val="auto"/>
              </w:rPr>
            </w:pPr>
          </w:p>
        </w:tc>
      </w:tr>
      <w:tr>
        <w:trPr>
          <w:trHeight w:val="216"/>
        </w:trPr>
        <w:tc>
          <w:tcPr>
            <w:tcW w:w="2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shareholders’ equity</w:t>
            </w:r>
          </w:p>
        </w:tc>
        <w:tc>
          <w:tcPr>
            <w:tcW w:w="3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Nonredeemable noncontrolling</w:t>
            </w:r>
          </w:p>
        </w:tc>
        <w:tc>
          <w:tcPr>
            <w:tcW w:w="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447.8</w:t>
            </w:r>
          </w:p>
        </w:tc>
        <w:tc>
          <w:tcPr>
            <w:tcW w:w="4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tcPr>
          <w:p>
            <w:pPr>
              <w:spacing w:after="0"/>
              <w:rPr>
                <w:sz w:val="14"/>
                <w:szCs w:val="14"/>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tcPr>
          <w:p>
            <w:pPr>
              <w:spacing w:after="0"/>
              <w:rPr>
                <w:sz w:val="14"/>
                <w:szCs w:val="14"/>
                <w:color w:val="auto"/>
              </w:rPr>
            </w:pPr>
          </w:p>
        </w:tc>
        <w:tc>
          <w:tcPr>
            <w:tcW w:w="3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70.6</w:t>
            </w:r>
          </w:p>
        </w:tc>
        <w:tc>
          <w:tcPr>
            <w:tcW w:w="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80" w:type="dxa"/>
            <w:vAlign w:val="bottom"/>
          </w:tcPr>
          <w:p>
            <w:pPr>
              <w:spacing w:after="0"/>
              <w:rPr>
                <w:sz w:val="14"/>
                <w:szCs w:val="14"/>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671.0</w:t>
            </w:r>
          </w:p>
        </w:tc>
        <w:tc>
          <w:tcPr>
            <w:tcW w:w="0" w:type="dxa"/>
            <w:vAlign w:val="bottom"/>
          </w:tcPr>
          <w:p>
            <w:pPr>
              <w:spacing w:after="0"/>
              <w:rPr>
                <w:sz w:val="1"/>
                <w:szCs w:val="1"/>
                <w:color w:val="auto"/>
              </w:rPr>
            </w:pPr>
          </w:p>
        </w:tc>
      </w:tr>
      <w:tr>
        <w:trPr>
          <w:trHeight w:val="216"/>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interests</w:t>
            </w:r>
          </w:p>
        </w:tc>
        <w:tc>
          <w:tcPr>
            <w:tcW w:w="3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ectPr>
          <w:pgSz w:w="11900" w:h="16838" w:orient="portrait"/>
          <w:cols w:equalWidth="0" w:num="1">
            <w:col w:w="11240"/>
          </w:cols>
          <w:pgMar w:left="320" w:top="945" w:right="339" w:bottom="1440" w:gutter="0" w:footer="0" w:header="0"/>
          <w:type w:val="continuous"/>
        </w:sectPr>
      </w:pPr>
    </w:p>
    <w:p>
      <w:pPr>
        <w:spacing w:after="0" w:line="57"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Total investments</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3,926.5</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1,313.3</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240" w:type="dxa"/>
            <w:vAlign w:val="bottom"/>
          </w:tcPr>
          <w:p>
            <w:pPr>
              <w:spacing w:after="0"/>
              <w:rPr>
                <w:sz w:val="20"/>
                <w:szCs w:val="20"/>
                <w:color w:val="auto"/>
              </w:rPr>
            </w:pP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94.0</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2,205.9</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6,354.1</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1,402.3</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240" w:type="dxa"/>
            <w:vAlign w:val="bottom"/>
          </w:tcPr>
          <w:p>
            <w:pPr>
              <w:spacing w:after="0"/>
              <w:rPr>
                <w:sz w:val="23"/>
                <w:szCs w:val="23"/>
                <w:color w:val="auto"/>
              </w:rPr>
            </w:pP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735.4</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2,577.9</w:t>
            </w:r>
          </w:p>
        </w:tc>
      </w:tr>
      <w:tr>
        <w:trPr>
          <w:trHeight w:val="257"/>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4,528.5</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446.9</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307.1</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r>
    </w:tbl>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w:t>
      </w:r>
    </w:p>
    <w:p>
      <w:pPr>
        <w:spacing w:after="0" w:line="167" w:lineRule="exact"/>
        <w:rPr>
          <w:sz w:val="20"/>
          <w:szCs w:val="20"/>
          <w:color w:val="auto"/>
        </w:rPr>
      </w:pPr>
    </w:p>
    <w:p>
      <w:pPr>
        <w:ind w:left="140" w:hanging="132"/>
        <w:spacing w:after="0"/>
        <w:tabs>
          <w:tab w:leader="none" w:pos="140" w:val="left"/>
        </w:tabs>
        <w:numPr>
          <w:ilvl w:val="0"/>
          <w:numId w:val="3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(3)</w:t>
      </w:r>
    </w:p>
    <w:p>
      <w:pPr>
        <w:spacing w:after="0" w:line="164" w:lineRule="exact"/>
        <w:rPr>
          <w:rFonts w:ascii="Times New Roman" w:cs="Times New Roman" w:eastAsia="Times New Roman" w:hAnsi="Times New Roman"/>
          <w:sz w:val="8"/>
          <w:szCs w:val="8"/>
          <w:color w:val="auto"/>
        </w:rPr>
      </w:pPr>
    </w:p>
    <w:p>
      <w:pPr>
        <w:ind w:left="140" w:hanging="132"/>
        <w:spacing w:after="0"/>
        <w:tabs>
          <w:tab w:leader="none" w:pos="140" w:val="left"/>
        </w:tabs>
        <w:numPr>
          <w:ilvl w:val="0"/>
          <w:numId w:val="34"/>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(3)</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335" w:hanging="335"/>
        <w:spacing w:after="0"/>
        <w:tabs>
          <w:tab w:leader="none" w:pos="3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8,323.9</w:t>
      </w:r>
    </w:p>
    <w:p>
      <w:pPr>
        <w:spacing w:after="0" w:line="63" w:lineRule="exact"/>
        <w:rPr>
          <w:rFonts w:ascii="Times New Roman" w:cs="Times New Roman" w:eastAsia="Times New Roman" w:hAnsi="Times New Roman"/>
          <w:sz w:val="18"/>
          <w:szCs w:val="18"/>
          <w:color w:val="auto"/>
        </w:rPr>
      </w:pPr>
    </w:p>
    <w:p>
      <w:pPr>
        <w:ind w:left="235" w:hanging="235"/>
        <w:spacing w:after="0"/>
        <w:tabs>
          <w:tab w:leader="none" w:pos="2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12,306.5</w:t>
      </w:r>
    </w:p>
    <w:p>
      <w:pPr>
        <w:spacing w:after="0" w:line="49" w:lineRule="exact"/>
        <w:rPr>
          <w:rFonts w:ascii="Times New Roman" w:cs="Times New Roman" w:eastAsia="Times New Roman" w:hAnsi="Times New Roman"/>
          <w:sz w:val="18"/>
          <w:szCs w:val="18"/>
          <w:color w:val="auto"/>
        </w:rPr>
      </w:pPr>
    </w:p>
    <w:p>
      <w:pPr>
        <w:ind w:left="335" w:hanging="335"/>
        <w:spacing w:after="0"/>
        <w:tabs>
          <w:tab w:leader="none" w:pos="3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6,051.4</w:t>
      </w:r>
    </w:p>
    <w:p>
      <w:pPr>
        <w:spacing w:after="0" w:line="28" w:lineRule="exact"/>
        <w:rPr>
          <w:sz w:val="20"/>
          <w:szCs w:val="20"/>
          <w:color w:val="auto"/>
        </w:rPr>
      </w:pPr>
    </w:p>
    <w:p>
      <w:pPr>
        <w:sectPr>
          <w:pgSz w:w="11900" w:h="16838" w:orient="portrait"/>
          <w:cols w:equalWidth="0" w:num="3">
            <w:col w:w="8700" w:space="100"/>
            <w:col w:w="240" w:space="105"/>
            <w:col w:w="2095"/>
          </w:cols>
          <w:pgMar w:left="320" w:top="945" w:right="339" w:bottom="1440" w:gutter="0" w:footer="0" w:header="0"/>
          <w:type w:val="continuous"/>
        </w:sectPr>
      </w:pPr>
    </w:p>
    <w:tbl>
      <w:tblPr>
        <w:tblLayout w:type="fixed"/>
        <w:tblInd w:w="920" w:type="dxa"/>
        <w:tblCellMar>
          <w:top w:w="0" w:type="dxa"/>
          <w:left w:w="0" w:type="dxa"/>
          <w:bottom w:w="0" w:type="dxa"/>
          <w:right w:w="0" w:type="dxa"/>
        </w:tblCellMar>
      </w:tblPr>
      <w:tr>
        <w:trPr>
          <w:trHeight w:val="162"/>
        </w:trPr>
        <w:tc>
          <w:tcPr>
            <w:tcW w:w="21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Redeemable noncontrolling</w:t>
            </w:r>
          </w:p>
        </w:tc>
        <w:tc>
          <w:tcPr>
            <w:tcW w:w="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3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131.5</w:t>
            </w:r>
          </w:p>
        </w:tc>
        <w:tc>
          <w:tcPr>
            <w:tcW w:w="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4"/>
                <w:szCs w:val="14"/>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interests</w:t>
            </w:r>
          </w:p>
        </w:tc>
        <w:tc>
          <w:tcPr>
            <w:tcW w:w="3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Total White Mountains’s</w:t>
            </w:r>
          </w:p>
        </w:tc>
        <w:tc>
          <w:tcPr>
            <w:tcW w:w="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1,360.4</w:t>
            </w:r>
          </w:p>
        </w:tc>
        <w:tc>
          <w:tcPr>
            <w:tcW w:w="4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814.2</w:t>
            </w:r>
          </w:p>
        </w:tc>
        <w:tc>
          <w:tcPr>
            <w:tcW w:w="120" w:type="dxa"/>
            <w:vAlign w:val="bottom"/>
          </w:tcPr>
          <w:p>
            <w:pPr>
              <w:spacing w:after="0"/>
              <w:rPr>
                <w:sz w:val="17"/>
                <w:szCs w:val="17"/>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220" w:type="dxa"/>
            <w:vAlign w:val="bottom"/>
            <w:vMerge w:val="restart"/>
          </w:tcPr>
          <w:p>
            <w:pPr>
              <w:jc w:val="right"/>
              <w:ind w:right="33"/>
              <w:spacing w:after="0"/>
              <w:rPr>
                <w:sz w:val="20"/>
                <w:szCs w:val="20"/>
                <w:color w:val="auto"/>
              </w:rPr>
            </w:pPr>
            <w:r>
              <w:rPr>
                <w:rFonts w:ascii="Times New Roman" w:cs="Times New Roman" w:eastAsia="Times New Roman" w:hAnsi="Times New Roman"/>
                <w:sz w:val="9"/>
                <w:szCs w:val="9"/>
                <w:color w:val="auto"/>
              </w:rPr>
              <w:t>(2)</w:t>
            </w:r>
          </w:p>
        </w:tc>
        <w:tc>
          <w:tcPr>
            <w:tcW w:w="3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223.1</w:t>
            </w:r>
          </w:p>
        </w:tc>
        <w:tc>
          <w:tcPr>
            <w:tcW w:w="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2,272.0</w:t>
            </w:r>
          </w:p>
        </w:tc>
        <w:tc>
          <w:tcPr>
            <w:tcW w:w="280" w:type="dxa"/>
            <w:vAlign w:val="bottom"/>
            <w:vMerge w:val="restart"/>
          </w:tcPr>
          <w:p>
            <w:pPr>
              <w:jc w:val="right"/>
              <w:ind w:right="73"/>
              <w:spacing w:after="0"/>
              <w:rPr>
                <w:sz w:val="20"/>
                <w:szCs w:val="20"/>
                <w:color w:val="auto"/>
              </w:rPr>
            </w:pPr>
            <w:r>
              <w:rPr>
                <w:rFonts w:ascii="Times New Roman" w:cs="Times New Roman" w:eastAsia="Times New Roman" w:hAnsi="Times New Roman"/>
                <w:sz w:val="9"/>
                <w:szCs w:val="9"/>
                <w:color w:val="auto"/>
              </w:rPr>
              <w:t>(2)</w:t>
            </w: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5,425.4</w:t>
            </w:r>
          </w:p>
        </w:tc>
        <w:tc>
          <w:tcPr>
            <w:tcW w:w="0" w:type="dxa"/>
            <w:vAlign w:val="bottom"/>
          </w:tcPr>
          <w:p>
            <w:pPr>
              <w:spacing w:after="0"/>
              <w:rPr>
                <w:sz w:val="1"/>
                <w:szCs w:val="1"/>
                <w:color w:val="auto"/>
              </w:rPr>
            </w:pPr>
          </w:p>
        </w:tc>
      </w:tr>
      <w:tr>
        <w:trPr>
          <w:trHeight w:val="216"/>
        </w:trPr>
        <w:tc>
          <w:tcPr>
            <w:tcW w:w="2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shareholders’ equity</w:t>
            </w:r>
          </w:p>
        </w:tc>
        <w:tc>
          <w:tcPr>
            <w:tcW w:w="3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Nonredeemable noncontrolling</w:t>
            </w:r>
          </w:p>
        </w:tc>
        <w:tc>
          <w:tcPr>
            <w:tcW w:w="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465.2</w:t>
            </w:r>
          </w:p>
        </w:tc>
        <w:tc>
          <w:tcPr>
            <w:tcW w:w="4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141.2</w:t>
            </w:r>
          </w:p>
        </w:tc>
        <w:tc>
          <w:tcPr>
            <w:tcW w:w="120" w:type="dxa"/>
            <w:vAlign w:val="bottom"/>
          </w:tcPr>
          <w:p>
            <w:pPr>
              <w:spacing w:after="0"/>
              <w:rPr>
                <w:sz w:val="14"/>
                <w:szCs w:val="14"/>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tcPr>
          <w:p>
            <w:pPr>
              <w:spacing w:after="0"/>
              <w:rPr>
                <w:sz w:val="14"/>
                <w:szCs w:val="14"/>
                <w:color w:val="auto"/>
              </w:rPr>
            </w:pPr>
          </w:p>
        </w:tc>
        <w:tc>
          <w:tcPr>
            <w:tcW w:w="3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73.7</w:t>
            </w:r>
          </w:p>
        </w:tc>
        <w:tc>
          <w:tcPr>
            <w:tcW w:w="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80" w:type="dxa"/>
            <w:vAlign w:val="bottom"/>
          </w:tcPr>
          <w:p>
            <w:pPr>
              <w:spacing w:after="0"/>
              <w:rPr>
                <w:sz w:val="14"/>
                <w:szCs w:val="14"/>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0" w:type="dxa"/>
            <w:vAlign w:val="bottom"/>
          </w:tcPr>
          <w:p>
            <w:pPr>
              <w:spacing w:after="0"/>
              <w:rPr>
                <w:sz w:val="1"/>
                <w:szCs w:val="1"/>
                <w:color w:val="auto"/>
              </w:rPr>
            </w:pPr>
          </w:p>
        </w:tc>
      </w:tr>
      <w:tr>
        <w:trPr>
          <w:trHeight w:val="216"/>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interests</w:t>
            </w:r>
          </w:p>
        </w:tc>
        <w:tc>
          <w:tcPr>
            <w:tcW w:w="3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180" w:hanging="172"/>
        <w:spacing w:after="0" w:line="272" w:lineRule="auto"/>
        <w:tabs>
          <w:tab w:leader="none" w:pos="150" w:val="left"/>
        </w:tabs>
        <w:numPr>
          <w:ilvl w:val="0"/>
          <w:numId w:val="3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Total investments as of March 31, 2026 and December 31, 2025 exclude $0.6 and $1.0 related to an Other Operating Business that was reclassified to assets held for sale. See </w:t>
      </w:r>
      <w:r>
        <w:rPr>
          <w:rFonts w:ascii="Times New Roman" w:cs="Times New Roman" w:eastAsia="Times New Roman" w:hAnsi="Times New Roman"/>
          <w:sz w:val="14"/>
          <w:szCs w:val="14"/>
          <w:b w:val="1"/>
          <w:bCs w:val="1"/>
          <w:color w:val="auto"/>
        </w:rPr>
        <w:t>Note 19 — “Held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for Sale.”</w:t>
      </w:r>
    </w:p>
    <w:p>
      <w:pPr>
        <w:ind w:left="180" w:right="200" w:hanging="172"/>
        <w:spacing w:after="0" w:line="235" w:lineRule="auto"/>
        <w:tabs>
          <w:tab w:leader="none" w:pos="163" w:val="left"/>
        </w:tabs>
        <w:numPr>
          <w:ilvl w:val="0"/>
          <w:numId w:val="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HG Global preferred dividends payable to White Mountains’s subsidiaries is eliminated in White Mountains’s consolidated financial statements. For segment reporting, the HG Global preferred dividends payable to White Mountains’s subsidiaries included within the HG Global segment are eliminated against the offsetting receivable included within Other Operations and therefore added back to White Mountains’s common shareholders’ equity within the HG Global segment. As of March 31, 2026 and December 31, 2025, the HG Global preferred dividends payable to White Mountains’s subsidiaries were $544.1 and $527.2.</w:t>
      </w:r>
    </w:p>
    <w:p>
      <w:pPr>
        <w:spacing w:after="0" w:line="1" w:lineRule="exact"/>
        <w:rPr>
          <w:rFonts w:ascii="Times New Roman" w:cs="Times New Roman" w:eastAsia="Times New Roman" w:hAnsi="Times New Roman"/>
          <w:sz w:val="19"/>
          <w:szCs w:val="19"/>
          <w:color w:val="auto"/>
          <w:vertAlign w:val="superscript"/>
        </w:rPr>
      </w:pPr>
    </w:p>
    <w:p>
      <w:pPr>
        <w:ind w:left="160" w:hanging="152"/>
        <w:spacing w:after="0" w:line="192" w:lineRule="auto"/>
        <w:tabs>
          <w:tab w:leader="none" w:pos="160" w:val="left"/>
        </w:tabs>
        <w:numPr>
          <w:ilvl w:val="0"/>
          <w:numId w:val="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Amounts include held for sale balances. See </w:t>
      </w:r>
      <w:r>
        <w:rPr>
          <w:rFonts w:ascii="Times New Roman" w:cs="Times New Roman" w:eastAsia="Times New Roman" w:hAnsi="Times New Roman"/>
          <w:sz w:val="14"/>
          <w:szCs w:val="14"/>
          <w:b w:val="1"/>
          <w:bCs w:val="1"/>
          <w:color w:val="auto"/>
        </w:rPr>
        <w:t>Note 19 — “Held for Sale.”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15. Variable Interest Entities</w:t>
      </w:r>
    </w:p>
    <w:p>
      <w:pPr>
        <w:spacing w:after="0" w:line="2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Under GAAP, White Mountains is required to consolidate any entity in which it holds a controlling financial interest. A controlling financial interest is usually in the form of an investment representing the majority of the subsidiary’s voting interests. However, a controlling financial interest may also arise from a financial interest in a variable interest entity (“VIE”) through arrangements that do not involve ownership of voting interests. A VIE is a legal entity that (i) does not have sufficient equity at risk to finance its activities without additional financial support; (ii) is structured such that equity investors, as a group, lack the power, through voting or similar rights, to direct the activities that most significantly impact the entity’s economic performance; (iii) is structured such that the equity investors lack the obligation to absorb losses of, or the right to receive returns from, the entity; or (iv) is structured with non-substantive voting rights. White Mountains determines whether an entity is a VIE at the inception of its variable interest in the entity and upon the occurrence of certain reconsideration events.</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White Mountains consolidates a VIE if it determines that it is the primary beneficiary. The primary beneficiary is defined as the entity that holds a variable interest that gives it both the power to direct the VIE’s activities that most significantly impact its economic performance and the obligation to absorb losses of, or the right to receive returns from, the VIE that could potentially be significant to the VIE. The identification of the primary beneficiary of a VIE may require significant assumptions and judgment. When White Mountains determines it has a variable interest in a VIE, it determines whether it is the primary beneficiary of that VIE by performing an analysis that principally considers: (i) the VIE’s purpose and design, including the risks the VIE was designed to create and pass through to its variable interest holders; (ii) the VIE’s capital structure; (iii) the identification of the activities that most significantly impact the VIE’s economic performance; (iv) the governance provisions and other contractual arrangements between the VIE and its variable interest holders and other parties involved with the VIE; and (v) related party relationships. At inception of its variable interest in the VIE as well as on an ongoing basis, White Mountains performs qualitative assessments of each VIE to determine whether White Mountains is the primary beneficiary of a VIE.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WM Outrigger Re</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of March 31, 2026, White Mountains owned 100.0% of WM Outrigger Re’s preferred equity. White Mountains has determined that Outrigger Re Ltd. and its segregated accounts, including WM Outrigger Re, are VIEs. White Mountains is not the primary beneficiary of Outrigger Re Ltd. or its third-party segregated accounts. White Mountains is the primary beneficiary of WM Outrigger Re, as it has both the power to direct the activities that most significantly impact WM Outrigger Re’s economic performance and the obligation to absorb losses, or the right to receive returns, that could potentially be significant to WM Outrigger Re. As a result, White Mountains consolidates WM Outrigger Re’s results in its financial statements. The assets of WM Outrigger Re can only be used to settle the liabilities of WM Outrigger Re, and there is no recourse to the Company for any creditors of WM Outrigger Re. WM Outrigger Re’s obligations under its reinsurance agreement with GAIL are subject to an aggregate limit equal to the assets in its collateral trust at any point in time. As of March 31, 2026, investments of $117.7 million were held in its collateral trust account.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BAM</w:t>
      </w:r>
    </w:p>
    <w:p>
      <w:pPr>
        <w:spacing w:after="0" w:line="2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BAM is the first and only mutual municipal bond insurance company in the United States. HG Global, together with its subsidiaries, funded the initial capitalization of BAM through the purchase of $503.0 million of BAM Surplus Notes and, through its reinsurance subsidiary HG Re, provides first-loss reinsurance protection of up to 15%-of-par outstanding for each policy assumed from BAM. As a mutual insurance company, BAM is owned by and operated for the benefit of its members, the municipalities whose debt issuances are insured by BAM. White Mountains has determined that BAM is a VIE. BAM’s underwriting process was determined to be the activity that most significantly impacts BAM’s economic performance. BAM’s underwriting guidelines define the types of credits that BAM may insure. BAM has the ability to change its underwriting guidelines without HG Re’s approval. Pursuant to the FLRT, HG Re is only required to provide reinsurance on policies that fall within a separate set of FLRT underwriting guidelines. Changes to these FLRT underwriting guidelines require HG Re’s approval. However, because BAM may amend the BAM underwriting guidelines without the consent of HG Re, White Mountains does not have the power to direct BAM’s activities that most significantly impact its economic performance and is not BAM’s primary beneficiary. Accordingly, White Mountains does not consolidate BAM.</w:t>
      </w:r>
    </w:p>
    <w:p>
      <w:pPr>
        <w:spacing w:after="0" w:line="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BAM’s assets can only be used to settle BAM’s obligations, and general creditors of BAM have no recourse to the Company or HG Global. HG Re’s obligations to BAM under the FLRT are subject to an aggregate limit equal to the assets in the Collateral Trusts at any point in time. As of March 31, 2026, the Collateral Trusts held assets of $1,008.9 million.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Distinguished</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March 31, 2026, White Mountains had a 55.5% limited partnership interest in Distinguished. White Mountains has determined that Distinguished is a VIE. As a limited partnership, Distinguished is a VIE because the limited partnership interests do not have substantive kick-out rights or participating rights. White Mountains is the primary beneficiary of Distinguished, as it has both the power to direct the activities that most significantly impact Distinguished’s economic performance through its control of Distinguished’s general partner and the obligation to absorb losses, or the right to receive returns, that could potentially be significant to Distinguished through its basic units owned. As a result, White Mountains consolidates Distinguished’s results in its financial statements. The assets of Distinguished can only be used to settle the liabilities of Distinguished, and there is no recourse to the Company for any creditors of Distinguished.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Bamboo SPV</w:t>
      </w:r>
    </w:p>
    <w:p>
      <w:pPr>
        <w:spacing w:after="0" w:line="256"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7"/>
          <w:szCs w:val="17"/>
          <w:color w:val="auto"/>
        </w:rPr>
        <w:t>As of March 31, 2026, White Mountains had a 27.9% limited partnership interest in the Bamboo SPV. White Mountains has determined that the Bamboo SPV is a VIE but that White Mountains is not the primary beneficiary and therefore does not consolidate the Bamboo SPV. White Mountains’s ownership interest gives White Mountains the ability to exert significant influence over the significant financial and operating activities of the Bamboo SPV.</w:t>
      </w:r>
    </w:p>
    <w:p>
      <w:pPr>
        <w:spacing w:after="0" w:line="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Accordingly, the Bamboo SPV meets the criteria to be accounted for under the equity method. White Mountains has taken the fair value option for its investment in the Bamboo SPV. Changes in the fair value of the Bamboo SPV are recorded in net realized and unrealized investment gains (losses). As of March 31, 2026, White Mountains’s maximum exposure to loss on its limited partnership interest in the Bamboo SPV is the carrying value of $260.0 million.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PassportCard/DavidShield</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March 31, 2026, White Mountains’s ownership interest in PassportCard/DavidShield was 53.8%. White Mountains has determined that PassportCard/DavidShield is a VIE but that White Mountains is not the primary beneficiary and therefore does not consolidate PassportCard/DavidShield. The governance structure for PassportCard/DavidShield was designed to give White Mountains and its co-investor equal power to make the decisions that most significantly impact its operations. White Mountains does not have the unilateral power to direct the operations of PassportCard/DavidShield and does not hold a controlling financial interest. White Mountains’s ownership interest gives White Mountains the ability to exert significant influence over the significant financial and operating activities of PassportCard/DavidShield. Accordingly, White Mountains’s investment in PassportCard/DavidShield meets the criteria to be accounted for under the equity method. White Mountains has taken the fair value option for its investment in PassportCard/DavidShield. Changes in the fair value of PassportCard/DavidShield are recorded in net realized and unrealized investment gains (losses). As of March 31, 2026, White Mountains’s maximum exposure to loss on its equity investment in PassportCard/DavidShield and the non-interest-bearing loan to its co-investor is the total carrying value of $179.8 million.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BroadStreet</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of March 31, 2026, White Mountains’s had a 10.9% limited partnership interest in the BroadStreet SPV. White Mountains has determined that the BroadStreet SPV is a VIE but that White Mountains is not the primary beneficiary and therefore does not consolidate the BroadStreet SPV. White Mountains’s ownership interest gives White Mountains the ability to exert significant influence over the significant financial and operating activities of the BroadStreet SPV. Accordingly, the BroadStreet SPV meets the criteria to be accounted for under the equity method. White Mountains has taken the fair value option for its investment in the BroadStreet SPV, which is measured at NAV as a practical expedient. Changes in the fair value of the BroadStreet SPV are recorded in net realized and unrealized investment gains (losses). As of March 31, 2026, White Mountains’s maximum exposure to loss on its limited partnership interest in the BroadStreet SPV is the carrying value of $170.1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Partnerships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White Mountains’s investments in limited partnerships are generally considered VIEs because the limited partnership interests do not have substantive kick-out rights or participating rights. White Mountains does not have the unilateral power to direct the operations of these limited partnerships, and therefore White Mountains is not the primary beneficiary and does not consolidate the limited partnerships. White Mountains has taken the fair value option for its investments in limited partnerships, which are generally measured at NAV as a practical expedient. As of March 31, 2026, White Mountains’s maximum exposure to loss on its investments in limited partnerships is the carrying value of $284.1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16. Equity Method Eligible Investments</w:t>
      </w:r>
    </w:p>
    <w:p>
      <w:pPr>
        <w:spacing w:after="0" w:line="25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White Mountains’s equity method eligible investments include those in which White Mountains has the ability to exert significant influence over the investee’s operating and financial policies. Under GAAP, equity method eligible investments are considered related parties. White Mountains has generally taken the fair value option for its equity method eligible investments.</w:t>
      </w:r>
    </w:p>
    <w:p>
      <w:pPr>
        <w:spacing w:after="0" w:line="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ownership interests and carrying values of White Mountains’s equity method eligible investments as of March 31, 2026 and December 31, 2025:</w:t>
      </w:r>
    </w:p>
    <w:p>
      <w:pPr>
        <w:spacing w:after="0" w:line="139" w:lineRule="exact"/>
        <w:rPr>
          <w:sz w:val="20"/>
          <w:szCs w:val="20"/>
          <w:color w:val="auto"/>
        </w:rPr>
      </w:pPr>
    </w:p>
    <w:tbl>
      <w:tblPr>
        <w:tblLayout w:type="fixed"/>
        <w:tblInd w:w="1040" w:type="dxa"/>
        <w:tblCellMar>
          <w:top w:w="0" w:type="dxa"/>
          <w:left w:w="0" w:type="dxa"/>
          <w:bottom w:w="0" w:type="dxa"/>
          <w:right w:w="0" w:type="dxa"/>
        </w:tblCellMar>
      </w:tblPr>
      <w:tr>
        <w:trPr>
          <w:trHeight w:val="210"/>
        </w:trPr>
        <w:tc>
          <w:tcPr>
            <w:tcW w:w="3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7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80" w:type="dxa"/>
            <w:vAlign w:val="bottom"/>
            <w:tcBorders>
              <w:top w:val="single" w:sz="8" w:color="auto"/>
              <w:bottom w:val="single" w:sz="8" w:color="auto"/>
            </w:tcBorders>
          </w:tcPr>
          <w:p>
            <w:pPr>
              <w:spacing w:after="0"/>
              <w:rPr>
                <w:sz w:val="18"/>
                <w:szCs w:val="18"/>
                <w:color w:val="auto"/>
              </w:rPr>
            </w:pPr>
          </w:p>
        </w:tc>
      </w:tr>
      <w:tr>
        <w:trPr>
          <w:trHeight w:val="21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Ownership Interest</w:t>
            </w: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Ownership Interest</w:t>
            </w: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Carrying Value</w:t>
            </w:r>
          </w:p>
        </w:tc>
      </w:tr>
      <w:tr>
        <w:trPr>
          <w:trHeight w:val="23"/>
        </w:trPr>
        <w:tc>
          <w:tcPr>
            <w:tcW w:w="3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Kudu’s Participation Contracts </w:t>
            </w:r>
            <w:r>
              <w:rPr>
                <w:rFonts w:ascii="Times New Roman" w:cs="Times New Roman" w:eastAsia="Times New Roman" w:hAnsi="Times New Roman"/>
                <w:sz w:val="9"/>
                <w:szCs w:val="9"/>
                <w:color w:val="auto"/>
              </w:rPr>
              <w:t>(1)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4.1% - 30.0%</w:t>
            </w:r>
          </w:p>
        </w:tc>
        <w:tc>
          <w:tcPr>
            <w:tcW w:w="140" w:type="dxa"/>
            <w:vAlign w:val="bottom"/>
          </w:tcPr>
          <w:p>
            <w:pPr>
              <w:spacing w:after="0"/>
              <w:rPr>
                <w:sz w:val="21"/>
                <w:szCs w:val="21"/>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1,352.2</w:t>
            </w:r>
          </w:p>
        </w:tc>
        <w:tc>
          <w:tcPr>
            <w:tcW w:w="14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 - 30.0%</w:t>
            </w:r>
          </w:p>
        </w:tc>
        <w:tc>
          <w:tcPr>
            <w:tcW w:w="120" w:type="dxa"/>
            <w:vAlign w:val="bottom"/>
          </w:tcPr>
          <w:p>
            <w:pPr>
              <w:spacing w:after="0"/>
              <w:rPr>
                <w:sz w:val="21"/>
                <w:szCs w:val="21"/>
                <w:color w:val="auto"/>
              </w:rPr>
            </w:pPr>
          </w:p>
        </w:tc>
        <w:tc>
          <w:tcPr>
            <w:tcW w:w="4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1,285.0</w:t>
            </w:r>
          </w:p>
        </w:tc>
      </w:tr>
      <w:tr>
        <w:trPr>
          <w:trHeight w:val="27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Bamboo SPV</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27.9%</w:t>
            </w:r>
          </w:p>
        </w:tc>
        <w:tc>
          <w:tcPr>
            <w:tcW w:w="140" w:type="dxa"/>
            <w:vAlign w:val="bottom"/>
          </w:tcPr>
          <w:p>
            <w:pPr>
              <w:spacing w:after="0"/>
              <w:rPr>
                <w:sz w:val="23"/>
                <w:szCs w:val="23"/>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260.0</w:t>
            </w:r>
          </w:p>
        </w:tc>
        <w:tc>
          <w:tcPr>
            <w:tcW w:w="14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27.9%</w:t>
            </w:r>
          </w:p>
        </w:tc>
        <w:tc>
          <w:tcPr>
            <w:tcW w:w="120" w:type="dxa"/>
            <w:vAlign w:val="bottom"/>
          </w:tcPr>
          <w:p>
            <w:pPr>
              <w:spacing w:after="0"/>
              <w:rPr>
                <w:sz w:val="23"/>
                <w:szCs w:val="23"/>
                <w:color w:val="auto"/>
              </w:rPr>
            </w:pPr>
          </w:p>
        </w:tc>
        <w:tc>
          <w:tcPr>
            <w:tcW w:w="4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r>
      <w:tr>
        <w:trPr>
          <w:trHeight w:val="27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BroadStreet SPV</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10.9%</w:t>
            </w:r>
          </w:p>
        </w:tc>
        <w:tc>
          <w:tcPr>
            <w:tcW w:w="140" w:type="dxa"/>
            <w:vAlign w:val="bottom"/>
          </w:tcPr>
          <w:p>
            <w:pPr>
              <w:spacing w:after="0"/>
              <w:rPr>
                <w:sz w:val="23"/>
                <w:szCs w:val="23"/>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170.1</w:t>
            </w:r>
          </w:p>
        </w:tc>
        <w:tc>
          <w:tcPr>
            <w:tcW w:w="14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w:t>
            </w:r>
          </w:p>
        </w:tc>
        <w:tc>
          <w:tcPr>
            <w:tcW w:w="120" w:type="dxa"/>
            <w:vAlign w:val="bottom"/>
          </w:tcPr>
          <w:p>
            <w:pPr>
              <w:spacing w:after="0"/>
              <w:rPr>
                <w:sz w:val="23"/>
                <w:szCs w:val="23"/>
                <w:color w:val="auto"/>
              </w:rPr>
            </w:pPr>
          </w:p>
        </w:tc>
        <w:tc>
          <w:tcPr>
            <w:tcW w:w="4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160.0</w:t>
            </w:r>
          </w:p>
        </w:tc>
      </w:tr>
      <w:tr>
        <w:trPr>
          <w:trHeight w:val="27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PassportCard/DavidShield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53.8%</w:t>
            </w:r>
          </w:p>
        </w:tc>
        <w:tc>
          <w:tcPr>
            <w:tcW w:w="140" w:type="dxa"/>
            <w:vAlign w:val="bottom"/>
          </w:tcPr>
          <w:p>
            <w:pPr>
              <w:spacing w:after="0"/>
              <w:rPr>
                <w:sz w:val="23"/>
                <w:szCs w:val="23"/>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170.0</w:t>
            </w:r>
          </w:p>
        </w:tc>
        <w:tc>
          <w:tcPr>
            <w:tcW w:w="14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53.8%</w:t>
            </w:r>
          </w:p>
        </w:tc>
        <w:tc>
          <w:tcPr>
            <w:tcW w:w="120" w:type="dxa"/>
            <w:vAlign w:val="bottom"/>
          </w:tcPr>
          <w:p>
            <w:pPr>
              <w:spacing w:after="0"/>
              <w:rPr>
                <w:sz w:val="23"/>
                <w:szCs w:val="23"/>
                <w:color w:val="auto"/>
              </w:rPr>
            </w:pPr>
          </w:p>
        </w:tc>
        <w:tc>
          <w:tcPr>
            <w:tcW w:w="4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170.0</w:t>
            </w:r>
          </w:p>
        </w:tc>
      </w:tr>
      <w:tr>
        <w:trPr>
          <w:trHeight w:val="27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Investment in MediaAlpha </w:t>
            </w:r>
            <w:r>
              <w:rPr>
                <w:rFonts w:ascii="Times New Roman" w:cs="Times New Roman" w:eastAsia="Times New Roman" w:hAnsi="Times New Roman"/>
                <w:sz w:val="9"/>
                <w:szCs w:val="9"/>
                <w:color w:val="auto"/>
              </w:rPr>
              <w:t>(2)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28.4%</w:t>
            </w:r>
          </w:p>
        </w:tc>
        <w:tc>
          <w:tcPr>
            <w:tcW w:w="140" w:type="dxa"/>
            <w:vAlign w:val="bottom"/>
          </w:tcPr>
          <w:p>
            <w:pPr>
              <w:spacing w:after="0"/>
              <w:rPr>
                <w:sz w:val="23"/>
                <w:szCs w:val="23"/>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166.1</w:t>
            </w:r>
          </w:p>
        </w:tc>
        <w:tc>
          <w:tcPr>
            <w:tcW w:w="14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27.7%</w:t>
            </w:r>
          </w:p>
        </w:tc>
        <w:tc>
          <w:tcPr>
            <w:tcW w:w="120" w:type="dxa"/>
            <w:vAlign w:val="bottom"/>
          </w:tcPr>
          <w:p>
            <w:pPr>
              <w:spacing w:after="0"/>
              <w:rPr>
                <w:sz w:val="23"/>
                <w:szCs w:val="23"/>
                <w:color w:val="auto"/>
              </w:rPr>
            </w:pPr>
          </w:p>
        </w:tc>
        <w:tc>
          <w:tcPr>
            <w:tcW w:w="4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231.2</w:t>
            </w:r>
          </w:p>
        </w:tc>
      </w:tr>
      <w:tr>
        <w:trPr>
          <w:trHeight w:val="256"/>
        </w:trPr>
        <w:tc>
          <w:tcPr>
            <w:tcW w:w="3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equity method eligible investments </w:t>
            </w:r>
            <w:r>
              <w:rPr>
                <w:rFonts w:ascii="Times New Roman" w:cs="Times New Roman" w:eastAsia="Times New Roman" w:hAnsi="Times New Roman"/>
                <w:sz w:val="9"/>
                <w:szCs w:val="9"/>
                <w:color w:val="auto"/>
              </w:rPr>
              <w:t>(3)</w:t>
            </w:r>
          </w:p>
        </w:tc>
        <w:tc>
          <w:tcPr>
            <w:tcW w:w="14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Under 50.0%</w:t>
            </w: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299.3</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Under 50.0%</w:t>
            </w:r>
          </w:p>
        </w:tc>
        <w:tc>
          <w:tcPr>
            <w:tcW w:w="4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301.0</w:t>
            </w:r>
          </w:p>
        </w:tc>
      </w:tr>
    </w:tbl>
    <w:p>
      <w:pPr>
        <w:spacing w:after="0" w:line="99" w:lineRule="exact"/>
        <w:rPr>
          <w:sz w:val="20"/>
          <w:szCs w:val="20"/>
          <w:color w:val="auto"/>
        </w:rPr>
      </w:pPr>
    </w:p>
    <w:p>
      <w:pPr>
        <w:ind w:left="180" w:right="320" w:hanging="172"/>
        <w:spacing w:after="0" w:line="271" w:lineRule="auto"/>
        <w:tabs>
          <w:tab w:leader="none" w:pos="163" w:val="left"/>
        </w:tabs>
        <w:numPr>
          <w:ilvl w:val="0"/>
          <w:numId w:val="3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Ownership interest references basic ownership interest with the exception of Kudu’s Participation Contracts, which are generally noncontrolling equity interests in the form of revenue and earnings participation contracts.</w:t>
      </w:r>
    </w:p>
    <w:p>
      <w:pPr>
        <w:ind w:left="160" w:hanging="152"/>
        <w:spacing w:after="0" w:line="192" w:lineRule="auto"/>
        <w:tabs>
          <w:tab w:leader="none" w:pos="160"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MediaAlpha’s ownership interest is based on the total class A and class B common shares outstanding.</w:t>
      </w:r>
    </w:p>
    <w:p>
      <w:pPr>
        <w:spacing w:after="0" w:line="3" w:lineRule="exact"/>
        <w:rPr>
          <w:rFonts w:ascii="Times New Roman" w:cs="Times New Roman" w:eastAsia="Times New Roman" w:hAnsi="Times New Roman"/>
          <w:sz w:val="19"/>
          <w:szCs w:val="19"/>
          <w:color w:val="auto"/>
          <w:vertAlign w:val="superscript"/>
        </w:rPr>
      </w:pPr>
    </w:p>
    <w:p>
      <w:pPr>
        <w:ind w:left="160" w:hanging="152"/>
        <w:spacing w:after="0" w:line="189" w:lineRule="auto"/>
        <w:tabs>
          <w:tab w:leader="none" w:pos="160"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certain other unconsolidated entities, private equity funds and an ILS fund.</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7" w:name="page48"/>
    <w:bookmarkEnd w:id="47"/>
    <w:p>
      <w:pPr>
        <w:ind w:left="180" w:right="6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White Mountains received dividend and income distributions from equity method eligible investments of $30.2 million and $16.6 million, which were generally recorded within net investment income in the consolidated statements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17. Fair Value of Financial Instruments</w:t>
      </w:r>
    </w:p>
    <w:p>
      <w:pPr>
        <w:spacing w:after="0" w:line="310" w:lineRule="exact"/>
        <w:rPr>
          <w:sz w:val="20"/>
          <w:szCs w:val="20"/>
          <w:color w:val="auto"/>
        </w:rPr>
      </w:pPr>
    </w:p>
    <w:p>
      <w:pPr>
        <w:ind w:right="640"/>
        <w:spacing w:after="0" w:line="261" w:lineRule="auto"/>
        <w:rPr>
          <w:sz w:val="20"/>
          <w:szCs w:val="20"/>
          <w:color w:val="auto"/>
        </w:rPr>
      </w:pPr>
      <w:r>
        <w:rPr>
          <w:rFonts w:ascii="Times New Roman" w:cs="Times New Roman" w:eastAsia="Times New Roman" w:hAnsi="Times New Roman"/>
          <w:sz w:val="18"/>
          <w:szCs w:val="18"/>
          <w:color w:val="auto"/>
        </w:rPr>
        <w:t xml:space="preserve">White Mountains records its financial instruments at fair value with the exception of debt obligations, which are recorded as debt at face value less unamortized debt issuance costs and original issue discount. See </w:t>
      </w:r>
      <w:r>
        <w:rPr>
          <w:rFonts w:ascii="Times New Roman" w:cs="Times New Roman" w:eastAsia="Times New Roman" w:hAnsi="Times New Roman"/>
          <w:sz w:val="18"/>
          <w:szCs w:val="18"/>
          <w:b w:val="1"/>
          <w:bCs w:val="1"/>
          <w:color w:val="auto"/>
        </w:rPr>
        <w:t>Note 7 — “Debt.”</w:t>
      </w:r>
    </w:p>
    <w:p>
      <w:pPr>
        <w:ind w:left="180"/>
        <w:spacing w:after="0"/>
        <w:rPr>
          <w:sz w:val="20"/>
          <w:szCs w:val="20"/>
          <w:color w:val="auto"/>
        </w:rPr>
      </w:pPr>
      <w:r>
        <w:rPr>
          <w:rFonts w:ascii="Times New Roman" w:cs="Times New Roman" w:eastAsia="Times New Roman" w:hAnsi="Times New Roman"/>
          <w:sz w:val="18"/>
          <w:szCs w:val="18"/>
          <w:color w:val="auto"/>
        </w:rPr>
        <w:t>The following table presents the fair value and carrying value of these financial instruments as of March 31, 2026 and December 31, 2025:</w:t>
      </w:r>
    </w:p>
    <w:p>
      <w:pPr>
        <w:spacing w:after="0" w:line="165" w:lineRule="exact"/>
        <w:rPr>
          <w:sz w:val="20"/>
          <w:szCs w:val="20"/>
          <w:color w:val="auto"/>
        </w:rPr>
      </w:pPr>
    </w:p>
    <w:tbl>
      <w:tblPr>
        <w:tblLayout w:type="fixed"/>
        <w:tblInd w:w="1680" w:type="dxa"/>
        <w:tblCellMar>
          <w:top w:w="0" w:type="dxa"/>
          <w:left w:w="0" w:type="dxa"/>
          <w:bottom w:w="0" w:type="dxa"/>
          <w:right w:w="0" w:type="dxa"/>
        </w:tblCellMar>
      </w:tblPr>
      <w:tr>
        <w:trPr>
          <w:trHeight w:val="209"/>
        </w:trPr>
        <w:tc>
          <w:tcPr>
            <w:tcW w:w="25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96"/>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Carrying Value</w:t>
            </w:r>
          </w:p>
        </w:tc>
      </w:tr>
      <w:tr>
        <w:trPr>
          <w:trHeight w:val="256"/>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Ark 2021 Subordinated Notes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176.2</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159.3</w:t>
            </w:r>
          </w:p>
        </w:tc>
        <w:tc>
          <w:tcPr>
            <w:tcW w:w="14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7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Kudu Credit Facility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356.6</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350.6</w:t>
            </w:r>
          </w:p>
        </w:tc>
        <w:tc>
          <w:tcPr>
            <w:tcW w:w="14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r>
      <w:tr>
        <w:trPr>
          <w:trHeight w:val="27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HG Global Senior Notes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152.0</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147.9</w:t>
            </w:r>
          </w:p>
        </w:tc>
        <w:tc>
          <w:tcPr>
            <w:tcW w:w="14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7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Distinguished Credit Facility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130.9</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129.6</w:t>
            </w:r>
          </w:p>
        </w:tc>
        <w:tc>
          <w:tcPr>
            <w:tcW w:w="14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r>
      <w:tr>
        <w:trPr>
          <w:trHeight w:val="27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Distinguished other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14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70"/>
        </w:trPr>
        <w:tc>
          <w:tcPr>
            <w:tcW w:w="2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Operations debt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w:t>
            </w:r>
          </w:p>
        </w:tc>
        <w:tc>
          <w:tcPr>
            <w:tcW w:w="1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w:t>
            </w:r>
          </w:p>
        </w:tc>
        <w:tc>
          <w:tcPr>
            <w:tcW w:w="1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r>
    </w:tbl>
    <w:p>
      <w:pPr>
        <w:spacing w:after="0" w:line="34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fair value estimates for White Mountains’s debt obligations have been determined based on discounted cash flow analyses and are considered to be Level 3 measurements.</w:t>
      </w:r>
    </w:p>
    <w:p>
      <w:pPr>
        <w:spacing w:after="0" w:line="255" w:lineRule="auto"/>
        <w:rPr>
          <w:sz w:val="20"/>
          <w:szCs w:val="20"/>
          <w:color w:val="auto"/>
        </w:rPr>
      </w:pPr>
      <w:r>
        <w:rPr>
          <w:rFonts w:ascii="Times New Roman" w:cs="Times New Roman" w:eastAsia="Times New Roman" w:hAnsi="Times New Roman"/>
          <w:sz w:val="18"/>
          <w:szCs w:val="18"/>
          <w:color w:val="auto"/>
        </w:rPr>
        <w:t xml:space="preserve">For the fair value measurements associated with White Mountains’s investment securities see </w:t>
      </w:r>
      <w:r>
        <w:rPr>
          <w:rFonts w:ascii="Times New Roman" w:cs="Times New Roman" w:eastAsia="Times New Roman" w:hAnsi="Times New Roman"/>
          <w:sz w:val="18"/>
          <w:szCs w:val="18"/>
          <w:b w:val="1"/>
          <w:bCs w:val="1"/>
          <w:color w:val="auto"/>
        </w:rPr>
        <w:t>Note 3 — “Investment Securities.”</w:t>
      </w:r>
      <w:r>
        <w:rPr>
          <w:rFonts w:ascii="Times New Roman" w:cs="Times New Roman" w:eastAsia="Times New Roman" w:hAnsi="Times New Roman"/>
          <w:sz w:val="18"/>
          <w:szCs w:val="18"/>
          <w:color w:val="auto"/>
        </w:rPr>
        <w:t xml:space="preserve"> For the fair value measurements associated with White Mountains’s derivative instruments see </w:t>
      </w:r>
      <w:r>
        <w:rPr>
          <w:rFonts w:ascii="Times New Roman" w:cs="Times New Roman" w:eastAsia="Times New Roman" w:hAnsi="Times New Roman"/>
          <w:sz w:val="18"/>
          <w:szCs w:val="18"/>
          <w:b w:val="1"/>
          <w:bCs w:val="1"/>
          <w:color w:val="auto"/>
        </w:rPr>
        <w:t>Note 9 — “Derivatives.”</w:t>
      </w:r>
      <w:r>
        <w:rPr>
          <w:rFonts w:ascii="Times New Roman" w:cs="Times New Roman" w:eastAsia="Times New Roman" w:hAnsi="Times New Roman"/>
          <w:sz w:val="18"/>
          <w:szCs w:val="18"/>
          <w:color w:val="auto"/>
        </w:rPr>
        <w:t xml:space="preserve"> For the fair value measurements associated with the BAM Surplus Notes see </w:t>
      </w:r>
      <w:r>
        <w:rPr>
          <w:rFonts w:ascii="Times New Roman" w:cs="Times New Roman" w:eastAsia="Times New Roman" w:hAnsi="Times New Roman"/>
          <w:sz w:val="18"/>
          <w:szCs w:val="18"/>
          <w:b w:val="1"/>
          <w:bCs w:val="1"/>
          <w:color w:val="auto"/>
        </w:rPr>
        <w:t>Note 10 — “Municipal Bond Guarantee Reinsurance.”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18.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Contingencies</w:t>
      </w:r>
    </w:p>
    <w:p>
      <w:pPr>
        <w:spacing w:after="0" w:line="25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White Mountains, and the insurance industry in general, is routinely subject to claims related litigation and arbitration in the normal course of business, as well as litigation and arbitration that do not arise from, nor are directly related to, claims activity. White Mountains’s estimates of the costs of settling matters routinely encountered in claims activity are reflected in the reserves for unpaid loss and LAE. See </w:t>
      </w:r>
      <w:r>
        <w:rPr>
          <w:rFonts w:ascii="Times New Roman" w:cs="Times New Roman" w:eastAsia="Times New Roman" w:hAnsi="Times New Roman"/>
          <w:sz w:val="18"/>
          <w:szCs w:val="18"/>
          <w:b w:val="1"/>
          <w:bCs w:val="1"/>
          <w:color w:val="auto"/>
        </w:rPr>
        <w:t>Note 5 — “Loss and Loss Adjustment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Expense Reserves.”</w:t>
      </w:r>
    </w:p>
    <w:p>
      <w:pPr>
        <w:spacing w:after="0" w:line="3"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White Mountains considers the requirements of ASC 450 when evaluating its exposure to non-claims related litigation and arbitration. ASC 450 requires that accruals be established for litigation and arbitration if it is probable that a loss has been incurred and it can be reasonably estimated. ASC 450 also requires that litigation and arbitration be disclosed if it is probable that a loss has been incurred or if there is a reasonable possibility that a loss may have been incurred. White Mountains does not have any current non-claims related litigation that may have a material adverse effect on White Mountains’s financial condition, results of operations or cash flows.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19. Held for Sale</w:t>
      </w:r>
    </w:p>
    <w:p>
      <w:pPr>
        <w:spacing w:after="0" w:line="25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White Mountains recognizes assets and liabilities classified as held for sale at the lower of carrying value on the date the asset is initially classified as held for sale or fair value less costs to sell. At the time of reclassification to held for sale, White Mountains ceases to recognize depreciation and amortization on assets held for sale. White Mountains reported assets and liabilities held for sale related to the pending sale of an Other Operating Business. As of March 31, 2026 and December 31, 2025, White Mountains reported assets and liabilities held for sale related to the pending sale of an Other Operating Business, which included $4.5 million and $5.0 million of short-term investments, cash and other assets as well as $2.9 million and $3.6 million of other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contains “forward-looking statements.” White Mountains intends statements that are not historical in nature, which are hereby identified as forward-looking statements, to be covered by the safe harbor provisions of the Private Securities Litigation Reform Act of 1995. White Mountains cannot promise that its expectations in such forward-looking statements will turn out to be correct. White Mountains’s actual results could be materially different from and worse than its expectations. See “</w:t>
      </w:r>
      <w:r>
        <w:rPr>
          <w:rFonts w:ascii="Times New Roman" w:cs="Times New Roman" w:eastAsia="Times New Roman" w:hAnsi="Times New Roman"/>
          <w:sz w:val="18"/>
          <w:szCs w:val="18"/>
          <w:b w:val="1"/>
          <w:bCs w:val="1"/>
          <w:color w:val="auto"/>
        </w:rPr>
        <w:t>FORWARD-LOOKING STATEMENTS</w:t>
      </w:r>
      <w:r>
        <w:rPr>
          <w:rFonts w:ascii="Times New Roman" w:cs="Times New Roman" w:eastAsia="Times New Roman" w:hAnsi="Times New Roman"/>
          <w:sz w:val="18"/>
          <w:szCs w:val="18"/>
          <w:i w:val="1"/>
          <w:iCs w:val="1"/>
          <w:color w:val="auto"/>
        </w:rPr>
        <w:t>” on page 72 for specific important factors that could cause actual results to differ materially from those contained in forward-looking statements.</w:t>
      </w:r>
    </w:p>
    <w:p>
      <w:pPr>
        <w:spacing w:after="0" w:line="1"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i w:val="1"/>
          <w:iCs w:val="1"/>
          <w:color w:val="auto"/>
        </w:rPr>
        <w:t>The following discussion also includes eight non-GAAP financial measures: (i) Ark’s tangible book value, (ii) Ark’s tangible capital, (iii) Kudu’s earnings before interest, taxes, depreciation and amortization (“EBITDA”), (iv) Kudu’s adjusted EBITDA, (v) Distinguished’s ScaleCo net income (loss), (vi) Distinguished’s ScaleCo EBITDA (vii) Distinguished’s ScaleCo adjusted EBITDA and (viii) total consolidated portfolio return excluding MediaAlpha. These non-GAAP financial measures have been reconciled from their most comparable GAAP financial measures on page 70. White Mountains believes these measures to be useful in evaluating White Mountains’s financial performance and condition.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2026 and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White Mountains reported book value per share of $2,170 as of March 31, 2026, a decrease of 1% for the first quarter of 2026, including dividends. Results in the first quarter of 2026 were driven primarily by solid results from White Mountains’s operating businesses that were more than offset by a decline in the MediaAlpha share price.</w:t>
      </w:r>
    </w:p>
    <w:p>
      <w:pPr>
        <w:spacing w:after="0" w:line="1" w:lineRule="exact"/>
        <w:rPr>
          <w:sz w:val="20"/>
          <w:szCs w:val="20"/>
          <w:color w:val="auto"/>
        </w:rPr>
      </w:pPr>
    </w:p>
    <w:p>
      <w:pPr>
        <w:ind w:right="460"/>
        <w:spacing w:after="0" w:line="245" w:lineRule="auto"/>
        <w:rPr>
          <w:sz w:val="20"/>
          <w:szCs w:val="20"/>
          <w:color w:val="auto"/>
        </w:rPr>
      </w:pPr>
      <w:r>
        <w:rPr>
          <w:rFonts w:ascii="Times New Roman" w:cs="Times New Roman" w:eastAsia="Times New Roman" w:hAnsi="Times New Roman"/>
          <w:sz w:val="18"/>
          <w:szCs w:val="18"/>
          <w:color w:val="auto"/>
        </w:rPr>
        <w:t>White Mountains reported book value per share of $1,752 as of March 31, 2025, an increase of 0.4% in the first quarter of 2025, including dividends. Results in the first quarter of 2025 were driven primarily by solid results from White Mountains’s operating businesses and good investment returns, mostly offset by a decline in the MediaAlpha share price.</w:t>
      </w:r>
    </w:p>
    <w:p>
      <w:pPr>
        <w:spacing w:after="0" w:line="2"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18"/>
          <w:szCs w:val="18"/>
          <w:color w:val="auto"/>
        </w:rPr>
        <w:t>Comprehensive income (loss) attributable to common shareholders was $(27) million in the first quarter 2026 compared to $35 million in the first quarter of 2025. Results in the first quarter of 2026 included $11 million of net realized and unrealized investment gains compared to $87 million in the first quarter of 2025. Results in the first quarter 2026 also included $65 million of unrealized investment losses from White Mountains’s investment in MediaAlpha compared to $37 million in the first quarter of 2025.</w:t>
      </w:r>
    </w:p>
    <w:p>
      <w:pPr>
        <w:spacing w:after="0" w:line="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On February 26, 2026, White Mountains deployed $125 million into Bishop Street, a diversified platform of MGAs and niche underwriting teams focused on the property and casualty insurance sector.</w:t>
      </w:r>
    </w:p>
    <w:p>
      <w:pPr>
        <w:spacing w:after="0" w:line="1"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In the second quarter of 2026, WTM Partners closed two new acquisitions. The acquisition of BaseSix Systems LLC, a low voltage electrical systems integrator, closed on April 1, 2026 and represented an equity investment of approximately $97 million. The acquisition of Hawkeye Electric, LLC, a provider of specialty electrical contracting services, closed on May 1, 2026 and represented an equity investment of approximately $35 million. Including these deployments, undeployed capital stands at roughly $0.8 billion.</w:t>
      </w:r>
    </w:p>
    <w:p>
      <w:pPr>
        <w:spacing w:after="0" w:line="2"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 Ark/WM Outrigger segment’s combined ratio was 91% in the first quarter of 2026 compared to 97% in the first quarter of 2025. The Ark/WM Outrigger segment reported gross written premiums of $1,091 million, net written premiums of $590 million and net earned premiums of $374 million in the first quarter of 2026 compared to gross written premiums of $1,108 million, net written premiums of $728 million and net earned premiums of $358 million in the first quarter of 2025. The Ark/WM Outrigger segment reported pre-tax income of $9 million in the first quarter of 2026 compared to $46 million in the first quarter of 2025.</w:t>
      </w:r>
    </w:p>
    <w:p>
      <w:pPr>
        <w:spacing w:after="0" w:line="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Ark’s combined ratio was 91% in the first quarter of 2026 compared to 94% in the first quarter of 2025. Ark’s combined ratio in the first quarter of 2026 included seven points of catastrophe losses, driven by losses related to the war in Iran. This compares to 25 points of catastrophe losses in the first quarter of 2025, driven by losses related to the California wildfires. Ark’s combined ratio included five points of net favorable prior year development in the first quarter of 2026, driven primarily by the specialty and property lines of business. This compares to 14 points of net favorable prior year development in the first quarter of 2025, driven primarily by the marine &amp; energy and property lines of business. Ark has exposure to the war in Iran, primarily through the specialty and marine &amp; energy lines of business. In the first quarter of 2026, Ark recorded estimated losses of $25 million (net of reinsurance and reinstatement premiums). However, losses could increase as the war is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9" w:name="page50"/>
    <w:bookmarkEnd w:id="49"/>
    <w:p>
      <w:pPr>
        <w:spacing w:after="0" w:line="251" w:lineRule="auto"/>
        <w:rPr>
          <w:sz w:val="20"/>
          <w:szCs w:val="20"/>
          <w:color w:val="auto"/>
        </w:rPr>
      </w:pPr>
      <w:r>
        <w:rPr>
          <w:rFonts w:ascii="Times New Roman" w:cs="Times New Roman" w:eastAsia="Times New Roman" w:hAnsi="Times New Roman"/>
          <w:sz w:val="18"/>
          <w:szCs w:val="18"/>
          <w:color w:val="auto"/>
        </w:rPr>
        <w:t>Ark reported gross written premiums of $1,091 million, net written premiums of $590 million and net earned premiums of $371 million in the first quarter of 2026 compared to gross written premiums of $1,108 million, net written premiums of $690 million and net earned premiums of $346 million in the first quarter of 2025. The decline in Ark’s written premiums was driven primarily by a change in the timing of recognition of certain delegated authority business. This change had no impact on the timing of recognition of Ark’s earned premiums, which increased 7% in the first quarter of 2026 compared to the first quarter of 2025, driven primarily by continued growth in the specialty and property lines of business. Net written premiums were also impacted by Ark’s greater use of quota share reinsurance in the current period. As a result, ceded written premiums increased to $501 million in the first quarter of 2026 from $417 million in the first quarter of 2025. Ark reported pre-tax income of $7 million in the first quarter of 2026 compared to $52 million in the first quarter of 2025. Ark’s results included net realized and unrealized investment gains (losses) of $(33) million in the first quarter of 2026 compared to $30 million in the first quarter of 2025.</w:t>
      </w:r>
    </w:p>
    <w:p>
      <w:pPr>
        <w:spacing w:after="0" w:line="2"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18"/>
          <w:szCs w:val="18"/>
          <w:color w:val="auto"/>
        </w:rPr>
        <w:t>WM Outrigger Re’s combined ratio was 44% in the first quarter of 2026 compared to 166% in the first quarter of 2025. Catastrophe losses in the first quarter of 2025 included $19 million of losses related to the California wildfires (net of reinstatement premiums). Ark renewed Outrigger Re Ltd. for the 2026 underwriting year with $70 million of unaffiliated third-party capital. Through March 31, 2026, WM Outrigger Re has generated pre-tax income of $57 million from the 2025 underwriting year, $29 million from the 2024 underwriting year and $76 million from the 2023 underwriting year.</w:t>
      </w:r>
    </w:p>
    <w:p>
      <w:pPr>
        <w:spacing w:after="0" w:line="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Kudu reported total revenues of $63 million, pre-tax income of $52 million and adjusted EBITDA of $17 million in the first quarter of 2026 compared to total revenues of $64 million, pre-tax income of $53 million and adjusted EBITDA of $16 million in the first quarter of 2025. Total revenues, pre-tax income and adjusted EBITDA included $21 million of net investment income in the first quarter of 2026 compared to $19 million in the first quarter of 2025. Total revenues and pre-tax income also included $42 million of net realized and unrealized investment gains in the first quarter of 2026 compared to $44 million in the first quarter of 2025.</w:t>
      </w:r>
    </w:p>
    <w:p>
      <w:pPr>
        <w:spacing w:after="0" w:line="2"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Kudu deployed a total of $21 million, including transaction costs, into one new asset management firm in the first quarter of 2026. As of March 31, 2026, Kudu has deployed $1.2 billion, including transaction costs, into 31 asset and wealth management firms globally, including three that have been exited. As of March 31, 2026, the asset and wealth management firms have combined assets under management (“AUM”) of approximately $155 billion, spanning a range of asset classes.</w:t>
      </w:r>
    </w:p>
    <w:p>
      <w:pPr>
        <w:spacing w:after="0" w:line="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HG Global reported gross written premiums of $8 million and earned premiums of $8 million in the first quarter of 2026 compared to gross written premiums of $7 million and earned premiums of $8 million in the first quarter of 2025. HG Global’s total par value of policies assumed was $518 million in the first quarter of 2026 compared to $427 million in the first quarter of 2025. HG Global’s total gross pricing was 160 basis points in the first quarter of 2026 compared to 157 basis points in the first quarter of 2025. HG Global reported pre-tax income of $11 million in the first quarter of 2026 compared to $25 million in the first quarter of 2025. HG Global’s results included net realized and unrealized investment gains (losses) of $(5) million in the first quarter of 2026 compared to $10 million in the first quarter of 2025, driven by movements in interest rates.</w:t>
      </w:r>
    </w:p>
    <w:p>
      <w:pPr>
        <w:spacing w:after="0" w:line="2"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The fair value of the BAM Surplus Notes was $346 million as of March 31, 2026 compared to $339 million as of December 31, 2025. The increase was driven by $7 million of accrued interest.</w:t>
      </w:r>
    </w:p>
    <w:p>
      <w:pPr>
        <w:spacing w:after="0" w:line="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Distinguished reported managed premiums of $132 million, commission and fee revenues of $40 million, pre-tax loss of $18 million and ScaleCo adjusted EBITDA of $4 million for the first quarter of 2026. Distinguished’s managed premiums increased by 7% in the first quarter of 2026 compared to the first quarter of 2025. This includes periods prior to White Mountains’s ownership of Distinguished, which White Mountains believe is useful in understanding Distinguished’s performance.</w:t>
      </w:r>
    </w:p>
    <w:p>
      <w:pPr>
        <w:ind w:right="40"/>
        <w:spacing w:after="0" w:line="234" w:lineRule="auto"/>
        <w:rPr>
          <w:sz w:val="20"/>
          <w:szCs w:val="20"/>
          <w:color w:val="auto"/>
        </w:rPr>
      </w:pPr>
      <w:r>
        <w:rPr>
          <w:rFonts w:ascii="Times New Roman" w:cs="Times New Roman" w:eastAsia="Times New Roman" w:hAnsi="Times New Roman"/>
          <w:sz w:val="18"/>
          <w:szCs w:val="18"/>
          <w:color w:val="auto"/>
        </w:rPr>
        <w:t>As of March 31, 2026, White Mountains owned 17.9 million shares of MediaAlpha, representing a 28% basic ownership interest based on the total class A and class B common shares outstanding. As of March 31, 2026, MediaAlpha’s share price was $9.30 per share, which decreased from $12.95 per share as of December 31, 2025. The carrying value of White Mountains’s investment in MediaAlpha was $166 million as of March 31, 2026 compared to $231 million as of December 31, 2025. At White Mountains’s current level of ownership, each $1.00 per share increase or decrease in the share price of MediaAlpha will result in an approximate $7.00 per share increase or decrease in White Mountains’s book value per share.</w:t>
      </w:r>
    </w:p>
    <w:p>
      <w:pPr>
        <w:spacing w:after="0" w:line="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White Mountains’s total consolidated portfolio return on invested assets was 0.2% in the first quarter of 2026, which included $65 million of unrealized investment losses from White Mountains’s investment in MediaAlpha. Excluding MediaAlpha, the total consolidated portfolio return on invested assets was 1.0% in the first quarter of 2026. Excluding MediaAlpha, investment results in the first quarter of 2026 were driven primarily by net investment income, net unrealized investment gains from other long-term investments and net unrealized investment losses from the fixed income and common equity portfolios.</w:t>
      </w:r>
    </w:p>
    <w:p>
      <w:pPr>
        <w:spacing w:after="0" w:line="2"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White Mountains’s total consolidated portfolio return on invested assets was 1.7% in the first quarter of 2025, which included $37 million of unrealized investment losses from White Mountains’s investment in MediaAlpha. Excluding MediaAlpha, the total consolidated portfolio return on invested assets was 2.3% in the first quarter of 2025. Excluding MediaAlpha, investment results in the first quarter of 2025 were driven primarily by net investment income and net unrealized investment gains from the other long-term investments and fixed income portfolios.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Book Value Per Share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White Mountains’s book value per share as of March 31, 2026, December 31, 2025 and March 31,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24"/>
        </w:trPr>
        <w:tc>
          <w:tcPr>
            <w:tcW w:w="6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Book value per share numerator (in millions):</w:t>
            </w:r>
          </w:p>
        </w:tc>
        <w:tc>
          <w:tcPr>
            <w:tcW w:w="100" w:type="dxa"/>
            <w:vAlign w:val="bottom"/>
          </w:tcPr>
          <w:p>
            <w:pPr>
              <w:spacing w:after="0"/>
              <w:rPr>
                <w:sz w:val="19"/>
                <w:szCs w:val="19"/>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5,373.5</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White Mountains’s common shareholders’ equity</w:t>
            </w:r>
          </w:p>
        </w:tc>
        <w:tc>
          <w:tcPr>
            <w:tcW w:w="22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4,509.6</w:t>
            </w:r>
          </w:p>
        </w:tc>
        <w:tc>
          <w:tcPr>
            <w:tcW w:w="0" w:type="dxa"/>
            <w:vAlign w:val="bottom"/>
          </w:tcPr>
          <w:p>
            <w:pPr>
              <w:spacing w:after="0"/>
              <w:rPr>
                <w:sz w:val="1"/>
                <w:szCs w:val="1"/>
                <w:color w:val="auto"/>
              </w:rPr>
            </w:pPr>
          </w:p>
        </w:tc>
      </w:tr>
      <w:tr>
        <w:trPr>
          <w:trHeight w:val="233"/>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Book value per share denominator (in thousands):</w:t>
            </w:r>
          </w:p>
        </w:tc>
        <w:tc>
          <w:tcPr>
            <w:tcW w:w="22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2,476.7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22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2,573.7</w:t>
            </w:r>
          </w:p>
        </w:tc>
        <w:tc>
          <w:tcPr>
            <w:tcW w:w="0" w:type="dxa"/>
            <w:vAlign w:val="bottom"/>
          </w:tcPr>
          <w:p>
            <w:pPr>
              <w:spacing w:after="0"/>
              <w:rPr>
                <w:sz w:val="1"/>
                <w:szCs w:val="1"/>
                <w:color w:val="auto"/>
              </w:rPr>
            </w:pPr>
          </w:p>
        </w:tc>
      </w:tr>
      <w:tr>
        <w:trPr>
          <w:trHeight w:val="283"/>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Book value per share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2,169.66</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2,187.97</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1,752.17</w:t>
            </w:r>
          </w:p>
        </w:tc>
        <w:tc>
          <w:tcPr>
            <w:tcW w:w="0" w:type="dxa"/>
            <w:vAlign w:val="bottom"/>
          </w:tcPr>
          <w:p>
            <w:pPr>
              <w:spacing w:after="0"/>
              <w:rPr>
                <w:sz w:val="1"/>
                <w:szCs w:val="1"/>
                <w:color w:val="auto"/>
              </w:rPr>
            </w:pPr>
          </w:p>
        </w:tc>
      </w:tr>
      <w:tr>
        <w:trPr>
          <w:trHeight w:val="264"/>
        </w:trPr>
        <w:tc>
          <w:tcPr>
            <w:tcW w:w="62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Year-to-date dividends paid per share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goodwill and other intangible assets that are included in White Mountains’s book value as of March 31, 2026, December 31, 2025 and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37547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Ark</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Kudu</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Distinguished </w:t>
      </w:r>
      <w:r>
        <w:rPr>
          <w:rFonts w:ascii="Times New Roman" w:cs="Times New Roman" w:eastAsia="Times New Roman" w:hAnsi="Times New Roman"/>
          <w:sz w:val="9"/>
          <w:szCs w:val="9"/>
          <w:color w:val="auto"/>
        </w:rPr>
        <w:t>(1)</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Bamboo</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Operations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goodwill</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Ark</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Kudu</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Distinguished </w:t>
      </w:r>
      <w:r>
        <w:rPr>
          <w:rFonts w:ascii="Times New Roman" w:cs="Times New Roman" w:eastAsia="Times New Roman" w:hAnsi="Times New Roman"/>
          <w:sz w:val="9"/>
          <w:szCs w:val="9"/>
          <w:color w:val="auto"/>
        </w:rPr>
        <w:t>(1)</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Bamboo</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Operations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other intangible assets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Total goodwill and other intangible assets </w:t>
      </w:r>
      <w:r>
        <w:rPr>
          <w:rFonts w:ascii="Times New Roman" w:cs="Times New Roman" w:eastAsia="Times New Roman" w:hAnsi="Times New Roman"/>
          <w:sz w:val="9"/>
          <w:szCs w:val="9"/>
          <w:color w:val="auto"/>
        </w:rPr>
        <w:t>(2)</w:t>
      </w:r>
    </w:p>
    <w:p>
      <w:pPr>
        <w:spacing w:after="0" w:line="50" w:lineRule="exact"/>
        <w:rPr>
          <w:sz w:val="20"/>
          <w:szCs w:val="20"/>
          <w:color w:val="auto"/>
        </w:rPr>
      </w:pPr>
    </w:p>
    <w:p>
      <w:pPr>
        <w:ind w:left="160" w:right="1720" w:hanging="134"/>
        <w:spacing w:after="0" w:line="263" w:lineRule="auto"/>
        <w:rPr>
          <w:sz w:val="20"/>
          <w:szCs w:val="20"/>
          <w:color w:val="auto"/>
        </w:rPr>
      </w:pPr>
      <w:r>
        <w:rPr>
          <w:rFonts w:ascii="Times New Roman" w:cs="Times New Roman" w:eastAsia="Times New Roman" w:hAnsi="Times New Roman"/>
          <w:sz w:val="18"/>
          <w:szCs w:val="18"/>
          <w:color w:val="auto"/>
        </w:rPr>
        <w:t xml:space="preserve">Goodwill and other intangible assets attributed to noncontrolling interests </w:t>
      </w:r>
      <w:r>
        <w:rPr>
          <w:rFonts w:ascii="Times New Roman" w:cs="Times New Roman" w:eastAsia="Times New Roman" w:hAnsi="Times New Roman"/>
          <w:sz w:val="9"/>
          <w:szCs w:val="9"/>
          <w:color w:val="auto"/>
        </w:rPr>
        <w:t>(3)</w:t>
      </w:r>
    </w:p>
    <w:p>
      <w:pPr>
        <w:spacing w:after="0" w:line="1" w:lineRule="exact"/>
        <w:rPr>
          <w:sz w:val="20"/>
          <w:szCs w:val="20"/>
          <w:color w:val="auto"/>
        </w:rPr>
      </w:pPr>
    </w:p>
    <w:p>
      <w:pPr>
        <w:ind w:left="160" w:right="1360" w:hanging="131"/>
        <w:spacing w:after="0" w:line="301" w:lineRule="auto"/>
        <w:rPr>
          <w:sz w:val="20"/>
          <w:szCs w:val="20"/>
          <w:color w:val="auto"/>
        </w:rPr>
      </w:pPr>
      <w:r>
        <w:rPr>
          <w:rFonts w:ascii="Times New Roman" w:cs="Times New Roman" w:eastAsia="Times New Roman" w:hAnsi="Times New Roman"/>
          <w:sz w:val="17"/>
          <w:szCs w:val="17"/>
          <w:b w:val="1"/>
          <w:bCs w:val="1"/>
          <w:color w:val="auto"/>
        </w:rPr>
        <w:t>Goodwill and other intangible assets included in White Mountains’s common shareholders’ equity</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6"/>
                <w:szCs w:val="16"/>
                <w:color w:val="auto"/>
              </w:rPr>
            </w:pPr>
          </w:p>
        </w:tc>
        <w:tc>
          <w:tcPr>
            <w:tcW w:w="146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3"/>
        </w:trPr>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507"/>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56"/>
        </w:trPr>
        <w:tc>
          <w:tcPr>
            <w:tcW w:w="2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57"/>
        </w:trPr>
        <w:tc>
          <w:tcPr>
            <w:tcW w:w="2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397.9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60" w:type="dxa"/>
            <w:vAlign w:val="bottom"/>
          </w:tcPr>
          <w:p>
            <w:pPr>
              <w:spacing w:after="0"/>
              <w:rPr>
                <w:sz w:val="22"/>
                <w:szCs w:val="22"/>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2"/>
                <w:szCs w:val="22"/>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r>
      <w:tr>
        <w:trPr>
          <w:trHeight w:val="257"/>
        </w:trPr>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93.0</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43"/>
        </w:trPr>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615.3</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439.2</w:t>
            </w:r>
          </w:p>
        </w:tc>
      </w:tr>
      <w:tr>
        <w:trPr>
          <w:trHeight w:val="500"/>
        </w:trPr>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r>
      <w:tr>
        <w:trPr>
          <w:trHeight w:val="257"/>
        </w:trPr>
        <w:tc>
          <w:tcPr>
            <w:tcW w:w="260" w:type="dxa"/>
            <w:vAlign w:val="bottom"/>
          </w:tcPr>
          <w:p>
            <w:pPr>
              <w:spacing w:after="0"/>
              <w:rPr>
                <w:sz w:val="22"/>
                <w:szCs w:val="22"/>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7"/>
        </w:trPr>
        <w:tc>
          <w:tcPr>
            <w:tcW w:w="2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60" w:type="dxa"/>
            <w:vAlign w:val="bottom"/>
          </w:tcPr>
          <w:p>
            <w:pPr>
              <w:spacing w:after="0"/>
              <w:rPr>
                <w:sz w:val="22"/>
                <w:szCs w:val="22"/>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2"/>
                <w:szCs w:val="22"/>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56"/>
        </w:trPr>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44"/>
        </w:trPr>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396.4</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w:t>
            </w:r>
          </w:p>
        </w:tc>
      </w:tr>
      <w:tr>
        <w:trPr>
          <w:trHeight w:val="238"/>
        </w:trPr>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w:t>
            </w:r>
          </w:p>
        </w:tc>
      </w:tr>
      <w:tr>
        <w:trPr>
          <w:trHeight w:val="450"/>
        </w:trPr>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(374.5)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r>
      <w:tr>
        <w:trPr>
          <w:trHeight w:val="27"/>
        </w:trPr>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412"/>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42545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5300" w:space="720"/>
            <w:col w:w="5220"/>
          </w:cols>
          <w:pgMar w:left="320" w:top="887" w:right="339" w:bottom="1440" w:gutter="0" w:footer="0" w:header="0"/>
          <w:type w:val="continuous"/>
        </w:sectPr>
      </w:pPr>
    </w:p>
    <w:p>
      <w:pPr>
        <w:ind w:left="140" w:hanging="132"/>
        <w:spacing w:after="0"/>
        <w:tabs>
          <w:tab w:leader="none" w:pos="140" w:val="left"/>
        </w:tabs>
        <w:numPr>
          <w:ilvl w:val="0"/>
          <w:numId w:val="3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 xml:space="preserve">The relative fair values of goodwill and other intangible assets recognized in connection with the Distinguished Transaction have not yet been finalized. See </w:t>
      </w:r>
      <w:r>
        <w:rPr>
          <w:rFonts w:ascii="Times New Roman" w:cs="Times New Roman" w:eastAsia="Times New Roman" w:hAnsi="Times New Roman"/>
          <w:sz w:val="12"/>
          <w:szCs w:val="12"/>
          <w:b w:val="1"/>
          <w:bCs w:val="1"/>
          <w:color w:val="auto"/>
        </w:rPr>
        <w:t>Note 2 — “Significant</w:t>
      </w:r>
    </w:p>
    <w:p>
      <w:pPr>
        <w:spacing w:after="0" w:line="9" w:lineRule="exact"/>
        <w:rPr>
          <w:rFonts w:ascii="Times New Roman" w:cs="Times New Roman" w:eastAsia="Times New Roman" w:hAnsi="Times New Roman"/>
          <w:sz w:val="16"/>
          <w:szCs w:val="16"/>
          <w:color w:val="auto"/>
          <w:vertAlign w:val="superscript"/>
        </w:rPr>
      </w:pPr>
    </w:p>
    <w:p>
      <w:pPr>
        <w:ind w:left="180"/>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4"/>
          <w:szCs w:val="14"/>
          <w:b w:val="1"/>
          <w:bCs w:val="1"/>
          <w:color w:val="auto"/>
        </w:rPr>
        <w:t>Transactions.”</w:t>
      </w:r>
    </w:p>
    <w:p>
      <w:pPr>
        <w:spacing w:after="0" w:line="1" w:lineRule="exact"/>
        <w:rPr>
          <w:rFonts w:ascii="Times New Roman" w:cs="Times New Roman" w:eastAsia="Times New Roman" w:hAnsi="Times New Roman"/>
          <w:sz w:val="16"/>
          <w:szCs w:val="16"/>
          <w:color w:val="auto"/>
          <w:vertAlign w:val="superscript"/>
        </w:rPr>
      </w:pPr>
    </w:p>
    <w:p>
      <w:pPr>
        <w:ind w:left="140" w:hanging="132"/>
        <w:spacing w:after="0"/>
        <w:tabs>
          <w:tab w:leader="none" w:pos="140" w:val="left"/>
        </w:tabs>
        <w:numPr>
          <w:ilvl w:val="0"/>
          <w:numId w:val="3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b w:val="1"/>
          <w:bCs w:val="1"/>
          <w:color w:val="auto"/>
        </w:rPr>
        <w:t>Note 4 — “Goodwill and Other Intangible Assets”</w:t>
      </w:r>
      <w:r>
        <w:rPr>
          <w:rFonts w:ascii="Times New Roman" w:cs="Times New Roman" w:eastAsia="Times New Roman" w:hAnsi="Times New Roman"/>
          <w:sz w:val="14"/>
          <w:szCs w:val="14"/>
          <w:color w:val="auto"/>
        </w:rPr>
        <w:t xml:space="preserve"> on page 24 for details of other intangible assets.</w:t>
      </w:r>
    </w:p>
    <w:p>
      <w:pPr>
        <w:spacing w:after="0" w:line="11"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3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Amounts reflect the basic ownership percentage of the noncontrolling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Summary of Consolidated Results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White Mountains’s consolidated financial results by industry for the three months ended March 31, 2026 and 2025:</w:t>
      </w:r>
    </w:p>
    <w:p>
      <w:pPr>
        <w:spacing w:after="0" w:line="140" w:lineRule="exact"/>
        <w:rPr>
          <w:sz w:val="20"/>
          <w:szCs w:val="20"/>
          <w:color w:val="auto"/>
        </w:rPr>
      </w:pPr>
    </w:p>
    <w:tbl>
      <w:tblPr>
        <w:tblLayout w:type="fixed"/>
        <w:tblInd w:w="1000" w:type="dxa"/>
        <w:tblCellMar>
          <w:top w:w="0" w:type="dxa"/>
          <w:left w:w="0" w:type="dxa"/>
          <w:bottom w:w="0" w:type="dxa"/>
          <w:right w:w="0" w:type="dxa"/>
        </w:tblCellMar>
      </w:tblPr>
      <w:tr>
        <w:trPr>
          <w:trHeight w:val="210"/>
        </w:trPr>
        <w:tc>
          <w:tcPr>
            <w:tcW w:w="67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0"/>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P&amp;C Insurance and Reinsurance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376.3</w:t>
            </w:r>
          </w:p>
        </w:tc>
        <w:tc>
          <w:tcPr>
            <w:tcW w:w="12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413.2</w:t>
            </w:r>
          </w:p>
        </w:tc>
      </w:tr>
      <w:tr>
        <w:trPr>
          <w:trHeight w:val="270"/>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Asset Management revenues</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r>
      <w:tr>
        <w:trPr>
          <w:trHeight w:val="270"/>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Financial Guarantee revenues</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r>
      <w:tr>
        <w:trPr>
          <w:trHeight w:val="270"/>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Specialty Insurance Distribution</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P&amp;C Insurance Distribution revenues</w:t>
            </w:r>
          </w:p>
        </w:tc>
        <w:tc>
          <w:tcPr>
            <w:tcW w:w="1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r>
      <w:tr>
        <w:trPr>
          <w:trHeight w:val="273"/>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Operations revenues</w:t>
            </w: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21.0</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50"/>
        </w:trPr>
        <w:tc>
          <w:tcPr>
            <w:tcW w:w="6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517.8</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577.8</w:t>
            </w:r>
          </w:p>
        </w:tc>
      </w:tr>
      <w:tr>
        <w:trPr>
          <w:trHeight w:val="247"/>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P&amp;C Insurance and Reinsurance expenses</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367.1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366.8</w:t>
            </w:r>
          </w:p>
        </w:tc>
      </w:tr>
      <w:tr>
        <w:trPr>
          <w:trHeight w:val="270"/>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Asset Management expenses</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70"/>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Financial Guarantee expenses</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70"/>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Specialty Insurance Distribution</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P&amp;C Insurance Distribution expenses</w:t>
            </w:r>
          </w:p>
        </w:tc>
        <w:tc>
          <w:tcPr>
            <w:tcW w:w="1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r>
      <w:tr>
        <w:trPr>
          <w:trHeight w:val="273"/>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Operations expenses</w:t>
            </w: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100.6</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w:t>
            </w:r>
          </w:p>
        </w:tc>
      </w:tr>
      <w:tr>
        <w:trPr>
          <w:trHeight w:val="250"/>
        </w:trPr>
        <w:tc>
          <w:tcPr>
            <w:tcW w:w="6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543.3</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505.4</w:t>
            </w:r>
          </w:p>
        </w:tc>
      </w:tr>
      <w:tr>
        <w:trPr>
          <w:trHeight w:val="24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Pre-tax income (loss):</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P&amp;C Insurance and Reinsurance pre-tax income (loss)</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70"/>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Asset Management pre-tax income (loss)</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r>
      <w:tr>
        <w:trPr>
          <w:trHeight w:val="270"/>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Financial Guarantee pre-tax income (loss)</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70"/>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Specialty Insurance Distribution</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P&amp;C Insurance Distribution pre-tax income (loss)</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73"/>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Operations pre-tax income (loss)</w:t>
            </w: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(79.6)</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w:t>
            </w:r>
          </w:p>
        </w:tc>
      </w:tr>
      <w:tr>
        <w:trPr>
          <w:trHeight w:val="247"/>
        </w:trPr>
        <w:tc>
          <w:tcPr>
            <w:tcW w:w="6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 pre-tax income (loss)</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w:t>
            </w:r>
          </w:p>
        </w:tc>
      </w:tr>
      <w:tr>
        <w:trPr>
          <w:trHeight w:val="324"/>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3"/>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47"/>
        </w:trPr>
        <w:tc>
          <w:tcPr>
            <w:tcW w:w="6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r>
      <w:tr>
        <w:trPr>
          <w:trHeight w:val="270"/>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12"/>
        </w:trPr>
        <w:tc>
          <w:tcPr>
            <w:tcW w:w="6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Net income (loss) attributable to White Mountains’s common shareholders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214"/>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60"/>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47"/>
        </w:trPr>
        <w:tc>
          <w:tcPr>
            <w:tcW w:w="6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216"/>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attributable to noncontrolling interests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4"/>
        </w:trPr>
        <w:tc>
          <w:tcPr>
            <w:tcW w:w="68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Comprehensive income (loss) attributable to White Mountains’s common shareholders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(26.6)</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r>
      <w:tr>
        <w:trPr>
          <w:trHeight w:val="22"/>
        </w:trPr>
        <w:tc>
          <w:tcPr>
            <w:tcW w:w="6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941" w:right="11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 SUMMARY OF OPERATIONS BY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White Mountains conducted its operations through four reportable segments: (1) Ark/WM Outrigger, (2) Kudu, (3) HG Global and</w:t>
      </w:r>
    </w:p>
    <w:p>
      <w:pPr>
        <w:spacing w:after="0" w:line="27" w:lineRule="exact"/>
        <w:rPr>
          <w:sz w:val="20"/>
          <w:szCs w:val="20"/>
          <w:color w:val="auto"/>
        </w:rPr>
      </w:pPr>
    </w:p>
    <w:p>
      <w:pPr>
        <w:ind w:firstLine="8"/>
        <w:spacing w:after="0" w:line="250"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Distinguished, with our remaining operating businesses, holding companies and other assets included in Other Operations. White Mountains has made its segment determination based on consideration of the following criteria: (i) the nature of the business activities of each of the Company’s subsidiaries and affiliates; (ii) the manner in which the Company’s subsidiaries and affiliates are organized; (iii) the existence of primary managers responsible for specific subsidiaries and affiliates; and (iv) the organization of information provided to the Company’s chief operating decision maker and its Board of Directors. Significant intercompany transactions among White Mountains’s segments have been eliminated herein. White Mountains’s segment information is presented in </w:t>
      </w:r>
      <w:r>
        <w:rPr>
          <w:rFonts w:ascii="Times New Roman" w:cs="Times New Roman" w:eastAsia="Times New Roman" w:hAnsi="Times New Roman"/>
          <w:sz w:val="18"/>
          <w:szCs w:val="18"/>
          <w:b w:val="1"/>
          <w:bCs w:val="1"/>
          <w:color w:val="auto"/>
        </w:rPr>
        <w:t>Note 14 — “Segment Information”</w:t>
      </w:r>
      <w:r>
        <w:rPr>
          <w:rFonts w:ascii="Times New Roman" w:cs="Times New Roman" w:eastAsia="Times New Roman" w:hAnsi="Times New Roman"/>
          <w:sz w:val="18"/>
          <w:szCs w:val="18"/>
          <w:color w:val="auto"/>
        </w:rPr>
        <w:t xml:space="preserve"> on page 41.</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White Mountains’s consolidated investment operations is included after the discussion of operations by segment.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Ark/WM Outrigger</w:t>
      </w:r>
    </w:p>
    <w:p>
      <w:pPr>
        <w:spacing w:after="0" w:line="25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Ark is a specialty property and casualty insurance and reinsurance company that offers a wide range of niche insurance and reinsurance products, including property, specialty, marine &amp; energy, casualty and accident &amp; health. Ark underwrites select coverages through its two major subsidiaries in the United Kingdom and Bermuda.</w:t>
      </w:r>
    </w:p>
    <w:p>
      <w:pPr>
        <w:spacing w:after="0" w:line="1"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Ark sponsored the formation of Outrigger Re Ltd., a Bermuda company registered as a special purpose insurer and segregated accounts company, to provide collateralized reinsurance protection on Ark’s Bermuda global property catastrophe excess of loss portfolio. White Mountains consolidates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segregated account of Outrigger Re Ltd., WM Outrigger Re, in its financial statements</w:t>
      </w:r>
      <w:r>
        <w:rPr>
          <w:rFonts w:ascii="Times New Roman" w:cs="Times New Roman" w:eastAsia="Times New Roman" w:hAnsi="Times New Roman"/>
          <w:sz w:val="21"/>
          <w:szCs w:val="21"/>
          <w:color w:val="008080"/>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components of pre-tax income (loss) included in the Ark/WM Outrigger segment for the three months ended March 31,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2025:</w:t>
      </w:r>
    </w:p>
    <w:p>
      <w:pPr>
        <w:spacing w:after="0" w:line="178" w:lineRule="exact"/>
        <w:rPr>
          <w:sz w:val="20"/>
          <w:szCs w:val="20"/>
          <w:color w:val="auto"/>
        </w:rPr>
      </w:pPr>
    </w:p>
    <w:tbl>
      <w:tblPr>
        <w:tblLayout w:type="fixed"/>
        <w:tblInd w:w="380" w:type="dxa"/>
        <w:tblCellMar>
          <w:top w:w="0" w:type="dxa"/>
          <w:left w:w="0" w:type="dxa"/>
          <w:bottom w:w="0" w:type="dxa"/>
          <w:right w:w="0" w:type="dxa"/>
        </w:tblCellMar>
      </w:tblPr>
      <w:tr>
        <w:trPr>
          <w:trHeight w:val="210"/>
        </w:trPr>
        <w:tc>
          <w:tcPr>
            <w:tcW w:w="5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52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Pr>
          <w:p>
            <w:pPr>
              <w:spacing w:after="0"/>
              <w:rPr>
                <w:sz w:val="11"/>
                <w:szCs w:val="11"/>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Ark</w:t>
            </w:r>
          </w:p>
        </w:tc>
        <w:tc>
          <w:tcPr>
            <w:tcW w:w="100" w:type="dxa"/>
            <w:vAlign w:val="bottom"/>
          </w:tcPr>
          <w:p>
            <w:pPr>
              <w:spacing w:after="0"/>
              <w:rPr>
                <w:sz w:val="11"/>
                <w:szCs w:val="11"/>
                <w:color w:val="auto"/>
              </w:rPr>
            </w:pPr>
          </w:p>
        </w:tc>
        <w:tc>
          <w:tcPr>
            <w:tcW w:w="12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WM</w:t>
            </w:r>
          </w:p>
        </w:tc>
        <w:tc>
          <w:tcPr>
            <w:tcW w:w="160" w:type="dxa"/>
            <w:vAlign w:val="bottom"/>
          </w:tcPr>
          <w:p>
            <w:pPr>
              <w:spacing w:after="0"/>
              <w:rPr>
                <w:sz w:val="11"/>
                <w:szCs w:val="11"/>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tcPr>
          <w:p>
            <w:pPr>
              <w:spacing w:after="0"/>
              <w:rPr>
                <w:sz w:val="11"/>
                <w:szCs w:val="11"/>
                <w:color w:val="auto"/>
              </w:rPr>
            </w:pPr>
          </w:p>
        </w:tc>
        <w:tc>
          <w:tcPr>
            <w:tcW w:w="92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3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Outrigger Re</w:t>
            </w: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 written premiums</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357.3</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357.3</w:t>
            </w:r>
          </w:p>
        </w:tc>
        <w:tc>
          <w:tcPr>
            <w:tcW w:w="0" w:type="dxa"/>
            <w:vAlign w:val="bottom"/>
          </w:tcPr>
          <w:p>
            <w:pPr>
              <w:spacing w:after="0"/>
              <w:rPr>
                <w:sz w:val="1"/>
                <w:szCs w:val="1"/>
                <w:color w:val="auto"/>
              </w:rPr>
            </w:pPr>
          </w:p>
        </w:tc>
      </w:t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written premiums</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733.6</w:t>
            </w:r>
          </w:p>
        </w:tc>
        <w:tc>
          <w:tcPr>
            <w:tcW w:w="0" w:type="dxa"/>
            <w:vAlign w:val="bottom"/>
          </w:tcPr>
          <w:p>
            <w:pPr>
              <w:spacing w:after="0"/>
              <w:rPr>
                <w:sz w:val="1"/>
                <w:szCs w:val="1"/>
                <w:color w:val="auto"/>
              </w:rPr>
            </w:pPr>
          </w:p>
        </w:tc>
      </w:tr>
      <w:tr>
        <w:trPr>
          <w:trHeight w:val="214"/>
        </w:trPr>
        <w:tc>
          <w:tcPr>
            <w:tcW w:w="5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Gross written premiums</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1,090.9</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1,090.9</w:t>
            </w:r>
          </w:p>
        </w:tc>
        <w:tc>
          <w:tcPr>
            <w:tcW w:w="0" w:type="dxa"/>
            <w:vAlign w:val="bottom"/>
          </w:tcPr>
          <w:p>
            <w:pPr>
              <w:spacing w:after="0"/>
              <w:rPr>
                <w:sz w:val="1"/>
                <w:szCs w:val="1"/>
                <w:color w:val="auto"/>
              </w:rPr>
            </w:pPr>
          </w:p>
        </w:tc>
      </w:t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Ceded written premiums</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(500.8)</w:t>
            </w:r>
          </w:p>
        </w:tc>
        <w:tc>
          <w:tcPr>
            <w:tcW w:w="0" w:type="dxa"/>
            <w:vAlign w:val="bottom"/>
          </w:tcPr>
          <w:p>
            <w:pPr>
              <w:spacing w:after="0"/>
              <w:rPr>
                <w:sz w:val="1"/>
                <w:szCs w:val="1"/>
                <w:color w:val="auto"/>
              </w:rPr>
            </w:pPr>
          </w:p>
        </w:tc>
      </w:tr>
      <w:tr>
        <w:trPr>
          <w:trHeight w:val="223"/>
        </w:trPr>
        <w:tc>
          <w:tcPr>
            <w:tcW w:w="5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written premiums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590.1</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590.1</w:t>
            </w:r>
          </w:p>
        </w:tc>
        <w:tc>
          <w:tcPr>
            <w:tcW w:w="0" w:type="dxa"/>
            <w:vAlign w:val="bottom"/>
          </w:tcPr>
          <w:p>
            <w:pPr>
              <w:spacing w:after="0"/>
              <w:rPr>
                <w:sz w:val="1"/>
                <w:szCs w:val="1"/>
                <w:color w:val="auto"/>
              </w:rPr>
            </w:pPr>
          </w:p>
        </w:tc>
      </w:tr>
      <w:tr>
        <w:trPr>
          <w:trHeight w:val="255"/>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Earned insurance premiums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373.8</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realized and unrealized investment gains (losses)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0" w:type="dxa"/>
            <w:vAlign w:val="bottom"/>
          </w:tcPr>
          <w:p>
            <w:pPr>
              <w:spacing w:after="0"/>
              <w:rPr>
                <w:sz w:val="1"/>
                <w:szCs w:val="1"/>
                <w:color w:val="auto"/>
              </w:rPr>
            </w:pPr>
          </w:p>
        </w:tc>
      </w:t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0" w:type="dxa"/>
            <w:vAlign w:val="bottom"/>
          </w:tcPr>
          <w:p>
            <w:pPr>
              <w:spacing w:after="0"/>
              <w:rPr>
                <w:sz w:val="1"/>
                <w:szCs w:val="1"/>
                <w:color w:val="auto"/>
              </w:rPr>
            </w:pPr>
          </w:p>
        </w:tc>
      </w:tr>
      <w:tr>
        <w:trPr>
          <w:trHeight w:val="223"/>
        </w:trPr>
        <w:tc>
          <w:tcPr>
            <w:tcW w:w="5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376.3</w:t>
            </w:r>
          </w:p>
        </w:tc>
        <w:tc>
          <w:tcPr>
            <w:tcW w:w="0" w:type="dxa"/>
            <w:vAlign w:val="bottom"/>
          </w:tcPr>
          <w:p>
            <w:pPr>
              <w:spacing w:after="0"/>
              <w:rPr>
                <w:sz w:val="1"/>
                <w:szCs w:val="1"/>
                <w:color w:val="auto"/>
              </w:rPr>
            </w:pPr>
          </w:p>
        </w:tc>
      </w:tr>
      <w:tr>
        <w:trPr>
          <w:trHeight w:val="214"/>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and LAE</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206.7</w:t>
            </w:r>
          </w:p>
        </w:tc>
        <w:tc>
          <w:tcPr>
            <w:tcW w:w="0" w:type="dxa"/>
            <w:vAlign w:val="bottom"/>
          </w:tcPr>
          <w:p>
            <w:pPr>
              <w:spacing w:after="0"/>
              <w:rPr>
                <w:sz w:val="1"/>
                <w:szCs w:val="1"/>
                <w:color w:val="auto"/>
              </w:rPr>
            </w:pPr>
          </w:p>
        </w:tc>
      </w:tr>
      <w:tr>
        <w:trPr>
          <w:trHeight w:val="229"/>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expenses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98.8</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 - other underwriting</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34.9</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 - all other</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0" w:type="dxa"/>
            <w:vAlign w:val="bottom"/>
          </w:tcPr>
          <w:p>
            <w:pPr>
              <w:spacing w:after="0"/>
              <w:rPr>
                <w:sz w:val="1"/>
                <w:szCs w:val="1"/>
                <w:color w:val="auto"/>
              </w:rPr>
            </w:pPr>
          </w:p>
        </w:tc>
      </w:tr>
      <w:tr>
        <w:trPr>
          <w:trHeight w:val="223"/>
        </w:trPr>
        <w:tc>
          <w:tcPr>
            <w:tcW w:w="5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365.9</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367.1</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Pre-tax income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0" w:type="dxa"/>
            <w:vAlign w:val="bottom"/>
          </w:tcPr>
          <w:p>
            <w:pPr>
              <w:spacing w:after="0"/>
              <w:rPr>
                <w:sz w:val="1"/>
                <w:szCs w:val="1"/>
                <w:color w:val="auto"/>
              </w:rPr>
            </w:pPr>
          </w:p>
        </w:tc>
      </w:tr>
      <w:tr>
        <w:trPr>
          <w:trHeight w:val="21"/>
        </w:trPr>
        <w:tc>
          <w:tcPr>
            <w:tcW w:w="5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3" w:name="page54"/>
    <w:bookmarkEnd w:id="53"/>
    <w:tbl>
      <w:tblPr>
        <w:tblLayout w:type="fixed"/>
        <w:tblInd w:w="380" w:type="dxa"/>
        <w:tblCellMar>
          <w:top w:w="0" w:type="dxa"/>
          <w:left w:w="0" w:type="dxa"/>
          <w:bottom w:w="0" w:type="dxa"/>
          <w:right w:w="0" w:type="dxa"/>
        </w:tblCellMar>
      </w:tblPr>
      <w:tr>
        <w:trPr>
          <w:trHeight w:val="210"/>
        </w:trPr>
        <w:tc>
          <w:tcPr>
            <w:tcW w:w="5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52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Pr>
          <w:p>
            <w:pPr>
              <w:spacing w:after="0"/>
              <w:rPr>
                <w:sz w:val="11"/>
                <w:szCs w:val="11"/>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Ark</w:t>
            </w:r>
          </w:p>
        </w:tc>
        <w:tc>
          <w:tcPr>
            <w:tcW w:w="100" w:type="dxa"/>
            <w:vAlign w:val="bottom"/>
          </w:tcPr>
          <w:p>
            <w:pPr>
              <w:spacing w:after="0"/>
              <w:rPr>
                <w:sz w:val="11"/>
                <w:szCs w:val="11"/>
                <w:color w:val="auto"/>
              </w:rPr>
            </w:pPr>
          </w:p>
        </w:tc>
        <w:tc>
          <w:tcPr>
            <w:tcW w:w="12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WM</w:t>
            </w:r>
          </w:p>
        </w:tc>
        <w:tc>
          <w:tcPr>
            <w:tcW w:w="160" w:type="dxa"/>
            <w:vAlign w:val="bottom"/>
          </w:tcPr>
          <w:p>
            <w:pPr>
              <w:spacing w:after="0"/>
              <w:rPr>
                <w:sz w:val="11"/>
                <w:szCs w:val="11"/>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tcPr>
          <w:p>
            <w:pPr>
              <w:spacing w:after="0"/>
              <w:rPr>
                <w:sz w:val="11"/>
                <w:szCs w:val="11"/>
                <w:color w:val="auto"/>
              </w:rPr>
            </w:pPr>
          </w:p>
        </w:tc>
        <w:tc>
          <w:tcPr>
            <w:tcW w:w="92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3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Outrigger Re</w:t>
            </w: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 written premiums</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0" w:type="dxa"/>
            <w:vAlign w:val="bottom"/>
          </w:tcPr>
          <w:p>
            <w:pPr>
              <w:spacing w:after="0"/>
              <w:rPr>
                <w:sz w:val="1"/>
                <w:szCs w:val="1"/>
                <w:color w:val="auto"/>
              </w:rPr>
            </w:pPr>
          </w:p>
        </w:tc>
      </w:tr>
      <w:tr>
        <w:trPr>
          <w:trHeight w:val="234"/>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written premiums</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0" w:type="dxa"/>
            <w:vAlign w:val="bottom"/>
          </w:tcPr>
          <w:p>
            <w:pPr>
              <w:spacing w:after="0"/>
              <w:rPr>
                <w:sz w:val="1"/>
                <w:szCs w:val="1"/>
                <w:color w:val="auto"/>
              </w:rPr>
            </w:pPr>
          </w:p>
        </w:tc>
      </w:tr>
      <w:tr>
        <w:trPr>
          <w:trHeight w:val="218"/>
        </w:trPr>
        <w:tc>
          <w:tcPr>
            <w:tcW w:w="5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Gross written premiums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1,107.6</w:t>
            </w:r>
          </w:p>
        </w:tc>
        <w:tc>
          <w:tcPr>
            <w:tcW w:w="0" w:type="dxa"/>
            <w:vAlign w:val="bottom"/>
          </w:tcPr>
          <w:p>
            <w:pPr>
              <w:spacing w:after="0"/>
              <w:rPr>
                <w:sz w:val="1"/>
                <w:szCs w:val="1"/>
                <w:color w:val="auto"/>
              </w:rPr>
            </w:pPr>
          </w:p>
        </w:tc>
      </w:tr>
      <w:tr>
        <w:trPr>
          <w:trHeight w:val="234"/>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Ceded written premiums</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0" w:type="dxa"/>
            <w:vAlign w:val="bottom"/>
          </w:tcPr>
          <w:p>
            <w:pPr>
              <w:spacing w:after="0"/>
              <w:rPr>
                <w:sz w:val="1"/>
                <w:szCs w:val="1"/>
                <w:color w:val="auto"/>
              </w:rPr>
            </w:pPr>
          </w:p>
        </w:tc>
      </w:tr>
      <w:tr>
        <w:trPr>
          <w:trHeight w:val="223"/>
        </w:trPr>
        <w:tc>
          <w:tcPr>
            <w:tcW w:w="5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written premiums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690.2</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727.7</w:t>
            </w:r>
          </w:p>
        </w:tc>
        <w:tc>
          <w:tcPr>
            <w:tcW w:w="0" w:type="dxa"/>
            <w:vAlign w:val="bottom"/>
          </w:tcPr>
          <w:p>
            <w:pPr>
              <w:spacing w:after="0"/>
              <w:rPr>
                <w:sz w:val="1"/>
                <w:szCs w:val="1"/>
                <w:color w:val="auto"/>
              </w:rPr>
            </w:pPr>
          </w:p>
        </w:tc>
      </w:tr>
      <w:tr>
        <w:trPr>
          <w:trHeight w:val="259"/>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Earned insurance premiums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9"/>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realized and unrealized investment gains (losses)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34"/>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5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0" w:type="dxa"/>
            <w:vAlign w:val="bottom"/>
          </w:tcPr>
          <w:p>
            <w:pPr>
              <w:spacing w:after="0"/>
              <w:rPr>
                <w:sz w:val="1"/>
                <w:szCs w:val="1"/>
                <w:color w:val="auto"/>
              </w:rPr>
            </w:pPr>
          </w:p>
        </w:tc>
      </w:tr>
      <w:tr>
        <w:trPr>
          <w:trHeight w:val="21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and LAE</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0" w:type="dxa"/>
            <w:vAlign w:val="bottom"/>
          </w:tcPr>
          <w:p>
            <w:pPr>
              <w:spacing w:after="0"/>
              <w:rPr>
                <w:sz w:val="1"/>
                <w:szCs w:val="1"/>
                <w:color w:val="auto"/>
              </w:rPr>
            </w:pPr>
          </w:p>
        </w:tc>
      </w:tr>
      <w:tr>
        <w:trPr>
          <w:trHeight w:val="229"/>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expenses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 - other underwriting</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9"/>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 - all other</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4"/>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5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Pre-tax income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Ratio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Ark/WM Outrigger segment’s insurance premiums, insurance expenses and insurance ratios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w:t>
      </w:r>
    </w:p>
    <w:p>
      <w:pPr>
        <w:spacing w:after="0" w:line="259" w:lineRule="exact"/>
        <w:rPr>
          <w:sz w:val="20"/>
          <w:szCs w:val="20"/>
          <w:color w:val="auto"/>
        </w:rPr>
      </w:pPr>
    </w:p>
    <w:tbl>
      <w:tblPr>
        <w:tblLayout w:type="fixed"/>
        <w:tblInd w:w="1360" w:type="dxa"/>
        <w:tblCellMar>
          <w:top w:w="0" w:type="dxa"/>
          <w:left w:w="0" w:type="dxa"/>
          <w:bottom w:w="0" w:type="dxa"/>
          <w:right w:w="0" w:type="dxa"/>
        </w:tblCellMar>
      </w:tblPr>
      <w:tr>
        <w:trPr>
          <w:trHeight w:val="209"/>
        </w:trPr>
        <w:tc>
          <w:tcPr>
            <w:tcW w:w="24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54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Ark</w:t>
            </w:r>
          </w:p>
        </w:tc>
        <w:tc>
          <w:tcPr>
            <w:tcW w:w="120" w:type="dxa"/>
            <w:vAlign w:val="bottom"/>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WM Outrigger Re</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4"/>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Insurance premiums:</w:t>
            </w:r>
          </w:p>
        </w:tc>
        <w:tc>
          <w:tcPr>
            <w:tcW w:w="100" w:type="dxa"/>
            <w:vAlign w:val="bottom"/>
          </w:tcPr>
          <w:p>
            <w:pPr>
              <w:spacing w:after="0"/>
              <w:rPr>
                <w:sz w:val="19"/>
                <w:szCs w:val="19"/>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1,090.9</w:t>
            </w:r>
          </w:p>
        </w:tc>
        <w:tc>
          <w:tcPr>
            <w:tcW w:w="12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1,090.9</w:t>
            </w:r>
          </w:p>
        </w:tc>
        <w:tc>
          <w:tcPr>
            <w:tcW w:w="0" w:type="dxa"/>
            <w:vAlign w:val="bottom"/>
          </w:tcPr>
          <w:p>
            <w:pPr>
              <w:spacing w:after="0"/>
              <w:rPr>
                <w:sz w:val="1"/>
                <w:szCs w:val="1"/>
                <w:color w:val="auto"/>
              </w:rPr>
            </w:pPr>
          </w:p>
        </w:tc>
      </w:tr>
      <w:tr>
        <w:trPr>
          <w:trHeight w:val="225"/>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2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written premiums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590.1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590.1</w:t>
            </w:r>
          </w:p>
        </w:tc>
        <w:tc>
          <w:tcPr>
            <w:tcW w:w="0" w:type="dxa"/>
            <w:vAlign w:val="bottom"/>
          </w:tcPr>
          <w:p>
            <w:pPr>
              <w:spacing w:after="0"/>
              <w:rPr>
                <w:sz w:val="1"/>
                <w:szCs w:val="1"/>
                <w:color w:val="auto"/>
              </w:rPr>
            </w:pPr>
          </w:p>
        </w:tc>
      </w:tr>
      <w:tr>
        <w:trPr>
          <w:trHeight w:val="238"/>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371.1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373.8</w:t>
            </w:r>
          </w:p>
        </w:tc>
        <w:tc>
          <w:tcPr>
            <w:tcW w:w="0" w:type="dxa"/>
            <w:vAlign w:val="bottom"/>
          </w:tcPr>
          <w:p>
            <w:pPr>
              <w:spacing w:after="0"/>
              <w:rPr>
                <w:sz w:val="1"/>
                <w:szCs w:val="1"/>
                <w:color w:val="auto"/>
              </w:rPr>
            </w:pPr>
          </w:p>
        </w:tc>
      </w:tr>
      <w:tr>
        <w:trPr>
          <w:trHeight w:val="495"/>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Insurance expenses:</w:t>
            </w: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206.4</w:t>
            </w:r>
          </w:p>
        </w:tc>
        <w:tc>
          <w:tcPr>
            <w:tcW w:w="12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206.7</w:t>
            </w:r>
          </w:p>
        </w:tc>
        <w:tc>
          <w:tcPr>
            <w:tcW w:w="0" w:type="dxa"/>
            <w:vAlign w:val="bottom"/>
          </w:tcPr>
          <w:p>
            <w:pPr>
              <w:spacing w:after="0"/>
              <w:rPr>
                <w:sz w:val="1"/>
                <w:szCs w:val="1"/>
                <w:color w:val="auto"/>
              </w:rPr>
            </w:pPr>
          </w:p>
        </w:tc>
      </w:tr>
      <w:tr>
        <w:trPr>
          <w:trHeight w:val="225"/>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and LAE</w:t>
            </w:r>
          </w:p>
        </w:tc>
        <w:tc>
          <w:tcPr>
            <w:tcW w:w="32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 expenses</w:t>
            </w:r>
          </w:p>
        </w:tc>
        <w:tc>
          <w:tcPr>
            <w:tcW w:w="32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97.9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98.8</w:t>
            </w:r>
          </w:p>
        </w:tc>
        <w:tc>
          <w:tcPr>
            <w:tcW w:w="0" w:type="dxa"/>
            <w:vAlign w:val="bottom"/>
          </w:tcPr>
          <w:p>
            <w:pPr>
              <w:spacing w:after="0"/>
              <w:rPr>
                <w:sz w:val="1"/>
                <w:szCs w:val="1"/>
                <w:color w:val="auto"/>
              </w:rPr>
            </w:pPr>
          </w:p>
        </w:tc>
      </w:tr>
      <w:tr>
        <w:trPr>
          <w:trHeight w:val="238"/>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underwriting expenses </w:t>
            </w:r>
            <w:r>
              <w:rPr>
                <w:rFonts w:ascii="Times New Roman" w:cs="Times New Roman" w:eastAsia="Times New Roman" w:hAnsi="Times New Roman"/>
                <w:sz w:val="9"/>
                <w:szCs w:val="9"/>
                <w:color w:val="auto"/>
              </w:rPr>
              <w:t>(1)</w:t>
            </w:r>
          </w:p>
        </w:tc>
        <w:tc>
          <w:tcPr>
            <w:tcW w:w="320" w:type="dxa"/>
            <w:vAlign w:val="bottom"/>
          </w:tcPr>
          <w:p>
            <w:pPr>
              <w:spacing w:after="0"/>
              <w:rPr>
                <w:sz w:val="20"/>
                <w:szCs w:val="20"/>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0"/>
                <w:szCs w:val="20"/>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34.9</w:t>
            </w:r>
          </w:p>
        </w:tc>
        <w:tc>
          <w:tcPr>
            <w:tcW w:w="0" w:type="dxa"/>
            <w:vAlign w:val="bottom"/>
          </w:tcPr>
          <w:p>
            <w:pPr>
              <w:spacing w:after="0"/>
              <w:rPr>
                <w:sz w:val="1"/>
                <w:szCs w:val="1"/>
                <w:color w:val="auto"/>
              </w:rPr>
            </w:pPr>
          </w:p>
        </w:tc>
      </w:tr>
      <w:tr>
        <w:trPr>
          <w:trHeight w:val="223"/>
        </w:trPr>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insurance expenses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339.2</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340.4</w:t>
            </w:r>
          </w:p>
        </w:tc>
        <w:tc>
          <w:tcPr>
            <w:tcW w:w="0" w:type="dxa"/>
            <w:vAlign w:val="bottom"/>
          </w:tcPr>
          <w:p>
            <w:pPr>
              <w:spacing w:after="0"/>
              <w:rPr>
                <w:sz w:val="1"/>
                <w:szCs w:val="1"/>
                <w:color w:val="auto"/>
              </w:rPr>
            </w:pPr>
          </w:p>
        </w:tc>
      </w:tr>
      <w:tr>
        <w:trPr>
          <w:trHeight w:val="20"/>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Insurance ratios:</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25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55.6 %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11.1 %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55.3 %</w:t>
            </w:r>
          </w:p>
        </w:tc>
        <w:tc>
          <w:tcPr>
            <w:tcW w:w="0" w:type="dxa"/>
            <w:vAlign w:val="bottom"/>
          </w:tcPr>
          <w:p>
            <w:pPr>
              <w:spacing w:after="0"/>
              <w:rPr>
                <w:sz w:val="1"/>
                <w:szCs w:val="1"/>
                <w:color w:val="auto"/>
              </w:rPr>
            </w:pPr>
          </w:p>
        </w:tc>
      </w:tr>
      <w:tr>
        <w:trPr>
          <w:trHeight w:val="225"/>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and LAE</w:t>
            </w:r>
          </w:p>
        </w:tc>
        <w:tc>
          <w:tcPr>
            <w:tcW w:w="3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 expense</w:t>
            </w:r>
          </w:p>
        </w:tc>
        <w:tc>
          <w:tcPr>
            <w:tcW w:w="32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26.4</w:t>
            </w:r>
          </w:p>
        </w:tc>
        <w:tc>
          <w:tcPr>
            <w:tcW w:w="0" w:type="dxa"/>
            <w:vAlign w:val="bottom"/>
          </w:tcPr>
          <w:p>
            <w:pPr>
              <w:spacing w:after="0"/>
              <w:rPr>
                <w:sz w:val="1"/>
                <w:szCs w:val="1"/>
                <w:color w:val="auto"/>
              </w:rPr>
            </w:pPr>
          </w:p>
        </w:tc>
      </w:tr>
      <w:tr>
        <w:trPr>
          <w:trHeight w:val="238"/>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underwriting expense</w:t>
            </w:r>
          </w:p>
        </w:tc>
        <w:tc>
          <w:tcPr>
            <w:tcW w:w="320" w:type="dxa"/>
            <w:vAlign w:val="bottom"/>
          </w:tcPr>
          <w:p>
            <w:pPr>
              <w:spacing w:after="0"/>
              <w:rPr>
                <w:sz w:val="20"/>
                <w:szCs w:val="20"/>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0"/>
                <w:szCs w:val="20"/>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9.4</w:t>
            </w:r>
          </w:p>
        </w:tc>
        <w:tc>
          <w:tcPr>
            <w:tcW w:w="0" w:type="dxa"/>
            <w:vAlign w:val="bottom"/>
          </w:tcPr>
          <w:p>
            <w:pPr>
              <w:spacing w:after="0"/>
              <w:rPr>
                <w:sz w:val="1"/>
                <w:szCs w:val="1"/>
                <w:color w:val="auto"/>
              </w:rPr>
            </w:pPr>
          </w:p>
        </w:tc>
      </w:tr>
      <w:tr>
        <w:trPr>
          <w:trHeight w:val="223"/>
        </w:trPr>
        <w:tc>
          <w:tcPr>
            <w:tcW w:w="25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Combined Ratio</w:t>
            </w: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91.4 %</w:t>
            </w:r>
          </w:p>
        </w:tc>
        <w:tc>
          <w:tcPr>
            <w:tcW w:w="1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44.4 %</w:t>
            </w:r>
          </w:p>
        </w:tc>
        <w:tc>
          <w:tcPr>
            <w:tcW w:w="10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w w:val="98"/>
              </w:rPr>
              <w:t>— %</w:t>
            </w:r>
          </w:p>
        </w:tc>
        <w:tc>
          <w:tcPr>
            <w:tcW w:w="10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91.1 %</w:t>
            </w:r>
          </w:p>
        </w:tc>
        <w:tc>
          <w:tcPr>
            <w:tcW w:w="0" w:type="dxa"/>
            <w:vAlign w:val="bottom"/>
          </w:tcPr>
          <w:p>
            <w:pPr>
              <w:spacing w:after="0"/>
              <w:rPr>
                <w:sz w:val="1"/>
                <w:szCs w:val="1"/>
                <w:color w:val="auto"/>
              </w:rPr>
            </w:pPr>
          </w:p>
        </w:tc>
      </w:tr>
      <w:tr>
        <w:trPr>
          <w:trHeight w:val="20"/>
        </w:trPr>
        <w:tc>
          <w:tcPr>
            <w:tcW w:w="2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800" w:hanging="144"/>
        <w:spacing w:after="0"/>
        <w:tabs>
          <w:tab w:leader="none" w:pos="800" w:val="left"/>
        </w:tabs>
        <w:numPr>
          <w:ilvl w:val="0"/>
          <w:numId w:val="4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Included within general and administrative expenses in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916" w:right="599" w:bottom="1440" w:gutter="0" w:footer="0" w:header="0"/>
        </w:sectPr>
      </w:pPr>
    </w:p>
    <w:bookmarkStart w:id="54" w:name="page55"/>
    <w:bookmarkEnd w:id="54"/>
    <w:tbl>
      <w:tblPr>
        <w:tblLayout w:type="fixed"/>
        <w:tblInd w:w="1380" w:type="dxa"/>
        <w:tblCellMar>
          <w:top w:w="0" w:type="dxa"/>
          <w:left w:w="0" w:type="dxa"/>
          <w:bottom w:w="0" w:type="dxa"/>
          <w:right w:w="0" w:type="dxa"/>
        </w:tblCellMar>
      </w:tblPr>
      <w:tr>
        <w:trPr>
          <w:trHeight w:val="210"/>
        </w:trPr>
        <w:tc>
          <w:tcPr>
            <w:tcW w:w="2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540" w:type="dxa"/>
            <w:vAlign w:val="bottom"/>
            <w:tcBorders>
              <w:top w:val="single" w:sz="8" w:color="auto"/>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60" w:type="dxa"/>
            <w:vAlign w:val="bottom"/>
          </w:tcPr>
          <w:p>
            <w:pPr>
              <w:spacing w:after="0"/>
              <w:rPr>
                <w:sz w:val="17"/>
                <w:szCs w:val="17"/>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Ark</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WM Outrigger Re</w:t>
            </w:r>
          </w:p>
        </w:tc>
        <w:tc>
          <w:tcPr>
            <w:tcW w:w="16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7"/>
                <w:szCs w:val="17"/>
                <w:color w:val="auto"/>
              </w:rPr>
            </w:pPr>
          </w:p>
        </w:tc>
        <w:tc>
          <w:tcPr>
            <w:tcW w:w="9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4"/>
        </w:trPr>
        <w:tc>
          <w:tcPr>
            <w:tcW w:w="2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Insurance premiums:</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1,107.6</w:t>
            </w:r>
          </w:p>
        </w:tc>
        <w:tc>
          <w:tcPr>
            <w:tcW w:w="10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1,107.6</w:t>
            </w:r>
          </w:p>
        </w:tc>
        <w:tc>
          <w:tcPr>
            <w:tcW w:w="0" w:type="dxa"/>
            <w:vAlign w:val="bottom"/>
          </w:tcPr>
          <w:p>
            <w:pPr>
              <w:spacing w:after="0"/>
              <w:rPr>
                <w:sz w:val="1"/>
                <w:szCs w:val="1"/>
                <w:color w:val="auto"/>
              </w:rPr>
            </w:pPr>
          </w:p>
        </w:tc>
      </w:tr>
      <w:tr>
        <w:trPr>
          <w:trHeight w:val="22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written premiums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690.2</w:t>
            </w:r>
          </w:p>
        </w:tc>
        <w:tc>
          <w:tcPr>
            <w:tcW w:w="10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727.7</w:t>
            </w:r>
          </w:p>
        </w:tc>
        <w:tc>
          <w:tcPr>
            <w:tcW w:w="0" w:type="dxa"/>
            <w:vAlign w:val="bottom"/>
          </w:tcPr>
          <w:p>
            <w:pPr>
              <w:spacing w:after="0"/>
              <w:rPr>
                <w:sz w:val="1"/>
                <w:szCs w:val="1"/>
                <w:color w:val="auto"/>
              </w:rPr>
            </w:pPr>
          </w:p>
        </w:tc>
      </w:tr>
      <w:tr>
        <w:trPr>
          <w:trHeight w:val="234"/>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346.0</w:t>
            </w:r>
          </w:p>
        </w:tc>
        <w:tc>
          <w:tcPr>
            <w:tcW w:w="10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358.0</w:t>
            </w:r>
          </w:p>
        </w:tc>
        <w:tc>
          <w:tcPr>
            <w:tcW w:w="0" w:type="dxa"/>
            <w:vAlign w:val="bottom"/>
          </w:tcPr>
          <w:p>
            <w:pPr>
              <w:spacing w:after="0"/>
              <w:rPr>
                <w:sz w:val="1"/>
                <w:szCs w:val="1"/>
                <w:color w:val="auto"/>
              </w:rPr>
            </w:pPr>
          </w:p>
        </w:tc>
      </w:tr>
      <w:tr>
        <w:trPr>
          <w:trHeight w:val="49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Insurance expenses: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and LAE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233.5</w:t>
            </w:r>
          </w:p>
        </w:tc>
        <w:tc>
          <w:tcPr>
            <w:tcW w:w="0" w:type="dxa"/>
            <w:vAlign w:val="bottom"/>
          </w:tcPr>
          <w:p>
            <w:pPr>
              <w:spacing w:after="0"/>
              <w:rPr>
                <w:sz w:val="1"/>
                <w:szCs w:val="1"/>
                <w:color w:val="auto"/>
              </w:rPr>
            </w:pPr>
          </w:p>
        </w:tc>
      </w:tr>
      <w:tr>
        <w:trPr>
          <w:trHeight w:val="23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 expenses</w:t>
            </w:r>
          </w:p>
        </w:tc>
        <w:tc>
          <w:tcPr>
            <w:tcW w:w="26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34"/>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underwriting expenses </w:t>
            </w:r>
            <w:r>
              <w:rPr>
                <w:rFonts w:ascii="Times New Roman" w:cs="Times New Roman" w:eastAsia="Times New Roman" w:hAnsi="Times New Roman"/>
                <w:sz w:val="9"/>
                <w:szCs w:val="9"/>
                <w:color w:val="auto"/>
              </w:rPr>
              <w:t>(1)</w:t>
            </w:r>
          </w:p>
        </w:tc>
        <w:tc>
          <w:tcPr>
            <w:tcW w:w="260" w:type="dxa"/>
            <w:vAlign w:val="bottom"/>
          </w:tcPr>
          <w:p>
            <w:pPr>
              <w:spacing w:after="0"/>
              <w:rPr>
                <w:sz w:val="20"/>
                <w:szCs w:val="20"/>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3"/>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insurance expenses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345.5</w:t>
            </w: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Insurance ratios:</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27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and LAE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0" w:type="dxa"/>
            <w:vAlign w:val="bottom"/>
          </w:tcPr>
          <w:p>
            <w:pPr>
              <w:spacing w:after="0"/>
              <w:rPr>
                <w:sz w:val="1"/>
                <w:szCs w:val="1"/>
                <w:color w:val="auto"/>
              </w:rPr>
            </w:pPr>
          </w:p>
        </w:tc>
      </w:tr>
      <w:tr>
        <w:trPr>
          <w:trHeight w:val="22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 expense</w:t>
            </w:r>
          </w:p>
        </w:tc>
        <w:tc>
          <w:tcPr>
            <w:tcW w:w="26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34"/>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underwriting expense</w:t>
            </w:r>
          </w:p>
        </w:tc>
        <w:tc>
          <w:tcPr>
            <w:tcW w:w="260" w:type="dxa"/>
            <w:vAlign w:val="bottom"/>
          </w:tcPr>
          <w:p>
            <w:pPr>
              <w:spacing w:after="0"/>
              <w:rPr>
                <w:sz w:val="20"/>
                <w:szCs w:val="20"/>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Combined Ratio</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94.1 %</w:t>
            </w:r>
          </w:p>
        </w:tc>
        <w:tc>
          <w:tcPr>
            <w:tcW w:w="1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165.8 %</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96.5 %</w:t>
            </w:r>
          </w:p>
        </w:tc>
        <w:tc>
          <w:tcPr>
            <w:tcW w:w="0" w:type="dxa"/>
            <w:vAlign w:val="bottom"/>
          </w:tcPr>
          <w:p>
            <w:pPr>
              <w:spacing w:after="0"/>
              <w:rPr>
                <w:sz w:val="1"/>
                <w:szCs w:val="1"/>
                <w:color w:val="auto"/>
              </w:rPr>
            </w:pPr>
          </w:p>
        </w:tc>
      </w:tr>
      <w:tr>
        <w:trPr>
          <w:trHeight w:val="21"/>
        </w:trPr>
        <w:tc>
          <w:tcPr>
            <w:tcW w:w="2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00" w:hanging="144"/>
        <w:spacing w:after="0"/>
        <w:tabs>
          <w:tab w:leader="none" w:pos="800" w:val="left"/>
        </w:tabs>
        <w:numPr>
          <w:ilvl w:val="0"/>
          <w:numId w:val="4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within general and administrative expenses in the consolidated statement of operations.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WM Outrigger Re’s insurance premiums, combined ratio and pre-tax income by underwriting year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w:t>
      </w:r>
    </w:p>
    <w:p>
      <w:pPr>
        <w:spacing w:after="0" w:line="259" w:lineRule="exact"/>
        <w:rPr>
          <w:sz w:val="20"/>
          <w:szCs w:val="20"/>
          <w:color w:val="auto"/>
        </w:rPr>
      </w:pPr>
    </w:p>
    <w:tbl>
      <w:tblPr>
        <w:tblLayout w:type="fixed"/>
        <w:tblInd w:w="1840" w:type="dxa"/>
        <w:tblCellMar>
          <w:top w:w="0" w:type="dxa"/>
          <w:left w:w="0" w:type="dxa"/>
          <w:bottom w:w="0" w:type="dxa"/>
          <w:right w:w="0" w:type="dxa"/>
        </w:tblCellMar>
      </w:tblPr>
      <w:tr>
        <w:trPr>
          <w:trHeight w:val="210"/>
        </w:trPr>
        <w:tc>
          <w:tcPr>
            <w:tcW w:w="20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00" w:type="dxa"/>
            <w:vAlign w:val="bottom"/>
            <w:vMerge w:val="restart"/>
          </w:tcPr>
          <w:p>
            <w:pPr>
              <w:spacing w:after="0"/>
              <w:rPr>
                <w:sz w:val="11"/>
                <w:szCs w:val="11"/>
                <w:color w:val="auto"/>
              </w:rPr>
            </w:pPr>
          </w:p>
        </w:tc>
        <w:tc>
          <w:tcPr>
            <w:tcW w:w="1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2025 Underwriting</w:t>
            </w:r>
          </w:p>
        </w:tc>
        <w:tc>
          <w:tcPr>
            <w:tcW w:w="12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2025 Underwriting</w:t>
            </w:r>
          </w:p>
        </w:tc>
        <w:tc>
          <w:tcPr>
            <w:tcW w:w="142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4"/>
                <w:szCs w:val="14"/>
                <w:b w:val="1"/>
                <w:bCs w:val="1"/>
                <w:color w:val="auto"/>
              </w:rPr>
              <w:t>2024 Underwriting</w:t>
            </w:r>
          </w:p>
        </w:tc>
        <w:tc>
          <w:tcPr>
            <w:tcW w:w="260" w:type="dxa"/>
            <w:vAlign w:val="bottom"/>
          </w:tcPr>
          <w:p>
            <w:pPr>
              <w:spacing w:after="0"/>
              <w:rPr>
                <w:sz w:val="11"/>
                <w:szCs w:val="11"/>
                <w:color w:val="auto"/>
              </w:rPr>
            </w:pPr>
          </w:p>
        </w:tc>
        <w:tc>
          <w:tcPr>
            <w:tcW w:w="9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Insurance premiums:</w:t>
            </w:r>
          </w:p>
        </w:tc>
        <w:tc>
          <w:tcPr>
            <w:tcW w:w="100" w:type="dxa"/>
            <w:vAlign w:val="bottom"/>
          </w:tcPr>
          <w:p>
            <w:pPr>
              <w:spacing w:after="0"/>
              <w:rPr>
                <w:sz w:val="19"/>
                <w:szCs w:val="19"/>
                <w:color w:val="auto"/>
              </w:rPr>
            </w:pPr>
          </w:p>
        </w:tc>
        <w:tc>
          <w:tcPr>
            <w:tcW w:w="320" w:type="dxa"/>
            <w:vAlign w:val="bottom"/>
            <w:vMerge w:val="restart"/>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written premiums</w:t>
            </w:r>
          </w:p>
        </w:tc>
        <w:tc>
          <w:tcPr>
            <w:tcW w:w="32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30"/>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written premiums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38"/>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earned premiums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2.7</w:t>
            </w:r>
          </w:p>
        </w:tc>
        <w:tc>
          <w:tcPr>
            <w:tcW w:w="1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32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71.8 %</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165.8 %</w:t>
            </w:r>
          </w:p>
        </w:tc>
        <w:tc>
          <w:tcPr>
            <w:tcW w:w="0" w:type="dxa"/>
            <w:vAlign w:val="bottom"/>
          </w:tcPr>
          <w:p>
            <w:pPr>
              <w:spacing w:after="0"/>
              <w:rPr>
                <w:sz w:val="1"/>
                <w:szCs w:val="1"/>
                <w:color w:val="auto"/>
              </w:rPr>
            </w:pPr>
          </w:p>
        </w:tc>
      </w:tr>
      <w:tr>
        <w:trPr>
          <w:trHeight w:val="324"/>
        </w:trPr>
        <w:tc>
          <w:tcPr>
            <w:tcW w:w="2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Pre-tax income</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2.7</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White Mountains’s capital commitment to WM Outrigger Re was $150 million for the 2025 underwriting year, $130 million for the 2024 underwriting year and $205 million for the 2023 underwriting year. Ark renewed Outrigger Re Ltd. for the 2026 underwriting year with $70 million of unaffiliated third-party capital. Ark increased its use of traditional quota share reinsurance for 2026, reducing the need for capacity from Outrigger Re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6"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Ark/WM Outrigger Results—Three Months Ended March 31, 2026 versus Three Months Ended March 31, 2025</w:t>
      </w:r>
    </w:p>
    <w:p>
      <w:pPr>
        <w:spacing w:after="0" w:line="31"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The Ark/WM Outrigger segment’s combined ratio was 91% in the first quarter of 2026 compared to 97% in the first quarter of 2025. The Ark/WM Outrigger segment reported gross written premiums of $1,091 million, net written premiums of $590 million and net earned premiums of $374 million in the first quarter of 2026 compared to gross written premiums of $1,108 million, net written premiums of $728 million and net earned premiums of $358 million in the first quarter of 2025. The Ark/WM Outrigger segment reported pre-tax income of $9 million in the first quarter of 2026 compared to $46 million in the first quarter of 2025.</w:t>
      </w:r>
    </w:p>
    <w:p>
      <w:pPr>
        <w:spacing w:after="0" w:line="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Ark’s combined ratio was 91% in the first quarter of 2026 compared to 94% in the first quarter of 2025. Ark’s combined ratio in the first quarter of 2026 included seven points of catastrophe losses, driven by losses related to the war in Iran, compared to 25 points of catastrophe losses in the first quarter of 2025, driven by losses related to the California wildfires. Ark’s combined ratio in the first quarter of 2026 included five points of net favorable prior year loss reserve development, driven primarily by the specialty and property lines of business. This compares to fourteen points of net favorable prior year loss reserve development in the first quarter of 2025, driven by the marine &amp; energy and property lines of business.</w:t>
      </w:r>
    </w:p>
    <w:p>
      <w:pPr>
        <w:spacing w:after="0" w:line="2" w:lineRule="exact"/>
        <w:rPr>
          <w:sz w:val="20"/>
          <w:szCs w:val="20"/>
          <w:color w:val="auto"/>
        </w:rPr>
      </w:pPr>
    </w:p>
    <w:p>
      <w:pPr>
        <w:ind w:right="540"/>
        <w:spacing w:after="0" w:line="250" w:lineRule="auto"/>
        <w:rPr>
          <w:sz w:val="20"/>
          <w:szCs w:val="20"/>
          <w:color w:val="auto"/>
        </w:rPr>
      </w:pPr>
      <w:r>
        <w:rPr>
          <w:rFonts w:ascii="Times New Roman" w:cs="Times New Roman" w:eastAsia="Times New Roman" w:hAnsi="Times New Roman"/>
          <w:sz w:val="18"/>
          <w:szCs w:val="18"/>
          <w:color w:val="auto"/>
        </w:rPr>
        <w:t>Ark has exposure to the war in Iran, primarily through the specialty and marine &amp; energy lines of business. In the first quarter of 2026, Ark recorded estimated losses of $25 million (net of reinsurance and reinstatement premiums). However, losses could increase as the war is ongoing.</w:t>
      </w:r>
    </w:p>
    <w:p>
      <w:pPr>
        <w:spacing w:after="0" w:line="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Ark reported gross written premiums of $1,091 million, net written premiums of $590 million and net earned premiums of $371 million in the first quarter of 2026 compared to gross written premiums of $1,108 million, net written premiums of $690 million and net earned premiums of $346 million in the first quarter of 2025. The decline in Ark’s written premiums was driven primarily by a change in the timing of recognition of certain delegated authority business. This change had no impact on the timing of recognition of Ark’s earned premiums, which increased 7% in the first quarter of 2026 compared to the first quarter of 2025, driven primarily by continued growth in the specialty and property lines of business. Net written premiums were also impacted by Ark’s greater use of quota share reinsurance in the current period. As a result, ceded written premiums increased to $501 million in the first quarter of 2026 from $417 million in the first quarter of 2025.</w:t>
      </w:r>
    </w:p>
    <w:p>
      <w:pPr>
        <w:spacing w:after="0" w:line="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Ark reported pre-tax income of $7 million in the first quarter of 2026 compared to $52 million in the first quarter of 2025. Ark’s results included net realized and unrealized investment gains (losses) of $(33) million in the first quarter of 2026, driven primarily by net unrealized investment losses from common equity securities and fixed maturity securities due to an increase in interest rates, compared to $30 million in the first quarter of 2025, driven primarily by net unrealized investment gains from common equity securities and fixed maturity securities due to foreign currency gains and a decrease in interest rates. Ark’s results also included a $10 million expense related to the increase in fair value of White Mountains’s contingent consideration liability in both the first quarter of 2026 and 2025.</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WM Outrigger Re’s combined ratio was 44% in the first quarter of 2026 compared to 166% in the first quarter of 2025. Catastrophe losses in 2025 included $19 million of losses related to the California wildfires (net of reinstatement premiums). In the first quarter of 2026, WM Outrigger Re’s combined ratio was 44% for the 2025 underwriting year compared to 72% for the 2025 underwriting year and 256% for the 2024 underwriting year in the first quarter of 2025.</w:t>
      </w:r>
    </w:p>
    <w:p>
      <w:pPr>
        <w:spacing w:after="0" w:line="2"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WM Outrigger Re reported gross written premiums of $0 million and net earned premiums of $3 million in the first quarter of 2026 compared to gross written premiums of $38 million and net earned premiums of $12 million in the first quarter of 2025. WM Outrigger Re reported pre-tax income of $3 million in the first quarter of 2026, all related to the 2025 underwriting year. WM Outrigger Re reported pre-tax income (loss) of $(6) million in the first quarter of 2025, of which $4 million related to the 2024 underwriting year and $(10) million related to the 2024 underwriting year.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Written Premiums</w:t>
      </w:r>
    </w:p>
    <w:p>
      <w:pPr>
        <w:spacing w:after="0" w:line="3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Ark’s gross written premiums decreased 2% to $1,091 million in the first quarter of 2026 compared to $1,108 million in the first quarter of 2025, with risk adjusted rate change of -6%. The decline in Ark’s gross written premiums was driven primarily by a change in the timing of recognition of certain delegated authority business. This change had no impact on the timing of recognition of Ark’s earned premiums, which increased 7% in the first quarter of 2026 compared to the first quarter of 2025, driven primarily by continued growth in the specialty and property lines of business.</w:t>
      </w:r>
    </w:p>
    <w:p>
      <w:pPr>
        <w:spacing w:after="0" w:line="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Ark/WM Outrigger segment’s gross written premiums by line of business for the three months ended March 31, 2026 and 2025:</w:t>
      </w:r>
    </w:p>
    <w:tbl>
      <w:tblPr>
        <w:tblLayout w:type="fixed"/>
        <w:tblInd w:w="0" w:type="dxa"/>
        <w:tblCellMar>
          <w:top w:w="0" w:type="dxa"/>
          <w:left w:w="0" w:type="dxa"/>
          <w:bottom w:w="0" w:type="dxa"/>
          <w:right w:w="0" w:type="dxa"/>
        </w:tblCellMar>
      </w:tblPr>
      <w:tr>
        <w:trPr>
          <w:trHeight w:val="200"/>
        </w:trPr>
        <w:tc>
          <w:tcPr>
            <w:tcW w:w="1740" w:type="dxa"/>
            <w:vAlign w:val="bottom"/>
          </w:tcPr>
          <w:p>
            <w:pPr>
              <w:spacing w:after="0"/>
              <w:rPr>
                <w:sz w:val="17"/>
                <w:szCs w:val="17"/>
                <w:color w:val="auto"/>
              </w:rPr>
            </w:pPr>
          </w:p>
        </w:tc>
        <w:tc>
          <w:tcPr>
            <w:tcW w:w="3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2900" w:type="dxa"/>
            <w:vAlign w:val="bottom"/>
            <w:tcBorders>
              <w:top w:val="single" w:sz="8" w:color="auto"/>
              <w:bottom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40" w:type="dxa"/>
            <w:vAlign w:val="bottom"/>
          </w:tcPr>
          <w:p>
            <w:pPr>
              <w:spacing w:after="0"/>
              <w:rPr>
                <w:sz w:val="17"/>
                <w:szCs w:val="17"/>
                <w:color w:val="auto"/>
              </w:rPr>
            </w:pPr>
          </w:p>
        </w:tc>
      </w:tr>
      <w:tr>
        <w:trPr>
          <w:trHeight w:val="196"/>
        </w:trPr>
        <w:tc>
          <w:tcPr>
            <w:tcW w:w="1740" w:type="dxa"/>
            <w:vAlign w:val="bottom"/>
          </w:tcPr>
          <w:p>
            <w:pPr>
              <w:spacing w:after="0"/>
              <w:rPr>
                <w:sz w:val="17"/>
                <w:szCs w:val="17"/>
                <w:color w:val="auto"/>
              </w:rPr>
            </w:pPr>
          </w:p>
        </w:tc>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17"/>
                <w:szCs w:val="17"/>
                <w:color w:val="auto"/>
              </w:rPr>
            </w:pPr>
          </w:p>
        </w:tc>
        <w:tc>
          <w:tcPr>
            <w:tcW w:w="122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40" w:type="dxa"/>
            <w:vAlign w:val="bottom"/>
          </w:tcPr>
          <w:p>
            <w:pPr>
              <w:spacing w:after="0"/>
              <w:rPr>
                <w:sz w:val="17"/>
                <w:szCs w:val="17"/>
                <w:color w:val="auto"/>
              </w:rPr>
            </w:pPr>
          </w:p>
        </w:tc>
      </w:tr>
      <w:tr>
        <w:trPr>
          <w:trHeight w:val="220"/>
        </w:trPr>
        <w:tc>
          <w:tcPr>
            <w:tcW w:w="1740" w:type="dxa"/>
            <w:vAlign w:val="bottom"/>
          </w:tcPr>
          <w:p>
            <w:pPr>
              <w:spacing w:after="0"/>
              <w:rPr>
                <w:sz w:val="19"/>
                <w:szCs w:val="19"/>
                <w:color w:val="auto"/>
              </w:rPr>
            </w:pPr>
          </w:p>
        </w:tc>
        <w:tc>
          <w:tcPr>
            <w:tcW w:w="3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461.5</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3040" w:type="dxa"/>
            <w:vAlign w:val="bottom"/>
          </w:tcPr>
          <w:p>
            <w:pPr>
              <w:spacing w:after="0"/>
              <w:rPr>
                <w:sz w:val="19"/>
                <w:szCs w:val="19"/>
                <w:color w:val="auto"/>
              </w:rPr>
            </w:pPr>
          </w:p>
        </w:tc>
      </w:tr>
      <w:tr>
        <w:trPr>
          <w:trHeight w:val="230"/>
        </w:trPr>
        <w:tc>
          <w:tcPr>
            <w:tcW w:w="1740" w:type="dxa"/>
            <w:vAlign w:val="bottom"/>
          </w:tcPr>
          <w:p>
            <w:pPr>
              <w:spacing w:after="0"/>
              <w:rPr>
                <w:sz w:val="19"/>
                <w:szCs w:val="19"/>
                <w:color w:val="auto"/>
              </w:rPr>
            </w:pPr>
          </w:p>
        </w:tc>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Specialty</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3040" w:type="dxa"/>
            <w:vAlign w:val="bottom"/>
          </w:tcPr>
          <w:p>
            <w:pPr>
              <w:spacing w:after="0"/>
              <w:rPr>
                <w:sz w:val="19"/>
                <w:szCs w:val="19"/>
                <w:color w:val="auto"/>
              </w:rPr>
            </w:pPr>
          </w:p>
        </w:tc>
      </w:tr>
      <w:tr>
        <w:trPr>
          <w:trHeight w:val="229"/>
        </w:trPr>
        <w:tc>
          <w:tcPr>
            <w:tcW w:w="1740" w:type="dxa"/>
            <w:vAlign w:val="bottom"/>
          </w:tcPr>
          <w:p>
            <w:pPr>
              <w:spacing w:after="0"/>
              <w:rPr>
                <w:sz w:val="19"/>
                <w:szCs w:val="19"/>
                <w:color w:val="auto"/>
              </w:rPr>
            </w:pPr>
          </w:p>
        </w:tc>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Marine &amp; Energy</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3040" w:type="dxa"/>
            <w:vAlign w:val="bottom"/>
          </w:tcPr>
          <w:p>
            <w:pPr>
              <w:spacing w:after="0"/>
              <w:rPr>
                <w:sz w:val="19"/>
                <w:szCs w:val="19"/>
                <w:color w:val="auto"/>
              </w:rPr>
            </w:pPr>
          </w:p>
        </w:tc>
      </w:tr>
      <w:tr>
        <w:trPr>
          <w:trHeight w:val="230"/>
        </w:trPr>
        <w:tc>
          <w:tcPr>
            <w:tcW w:w="1740" w:type="dxa"/>
            <w:vAlign w:val="bottom"/>
          </w:tcPr>
          <w:p>
            <w:pPr>
              <w:spacing w:after="0"/>
              <w:rPr>
                <w:sz w:val="19"/>
                <w:szCs w:val="19"/>
                <w:color w:val="auto"/>
              </w:rPr>
            </w:pPr>
          </w:p>
        </w:tc>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Casualty</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3040" w:type="dxa"/>
            <w:vAlign w:val="bottom"/>
          </w:tcPr>
          <w:p>
            <w:pPr>
              <w:spacing w:after="0"/>
              <w:rPr>
                <w:sz w:val="19"/>
                <w:szCs w:val="19"/>
                <w:color w:val="auto"/>
              </w:rPr>
            </w:pPr>
          </w:p>
        </w:tc>
      </w:tr>
      <w:tr>
        <w:trPr>
          <w:trHeight w:val="238"/>
        </w:trPr>
        <w:tc>
          <w:tcPr>
            <w:tcW w:w="1740" w:type="dxa"/>
            <w:vAlign w:val="bottom"/>
          </w:tcPr>
          <w:p>
            <w:pPr>
              <w:spacing w:after="0"/>
              <w:rPr>
                <w:sz w:val="20"/>
                <w:szCs w:val="20"/>
                <w:color w:val="auto"/>
              </w:rPr>
            </w:pPr>
          </w:p>
        </w:tc>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Accident &amp; Health</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56.5</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3040" w:type="dxa"/>
            <w:vAlign w:val="bottom"/>
          </w:tcPr>
          <w:p>
            <w:pPr>
              <w:spacing w:after="0"/>
              <w:rPr>
                <w:sz w:val="20"/>
                <w:szCs w:val="20"/>
                <w:color w:val="auto"/>
              </w:rPr>
            </w:pPr>
          </w:p>
        </w:tc>
      </w:tr>
      <w:tr>
        <w:trPr>
          <w:trHeight w:val="223"/>
        </w:trPr>
        <w:tc>
          <w:tcPr>
            <w:tcW w:w="1740" w:type="dxa"/>
            <w:vAlign w:val="bottom"/>
          </w:tcPr>
          <w:p>
            <w:pPr>
              <w:spacing w:after="0"/>
              <w:rPr>
                <w:sz w:val="19"/>
                <w:szCs w:val="19"/>
                <w:color w:val="auto"/>
              </w:rPr>
            </w:pPr>
          </w:p>
        </w:tc>
        <w:tc>
          <w:tcPr>
            <w:tcW w:w="32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 Gross Written Premium</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1,090.9</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1,107.6</w:t>
            </w:r>
          </w:p>
        </w:tc>
        <w:tc>
          <w:tcPr>
            <w:tcW w:w="3040" w:type="dxa"/>
            <w:vAlign w:val="bottom"/>
          </w:tcPr>
          <w:p>
            <w:pPr>
              <w:spacing w:after="0"/>
              <w:rPr>
                <w:sz w:val="19"/>
                <w:szCs w:val="19"/>
                <w:color w:val="auto"/>
              </w:rPr>
            </w:pPr>
          </w:p>
        </w:tc>
      </w:tr>
      <w:tr>
        <w:trPr>
          <w:trHeight w:val="20"/>
        </w:trPr>
        <w:tc>
          <w:tcPr>
            <w:tcW w:w="1740" w:type="dxa"/>
            <w:vAlign w:val="bottom"/>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830"/>
        </w:trPr>
        <w:tc>
          <w:tcPr>
            <w:tcW w:w="17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115"/>
        </w:trPr>
        <w:tc>
          <w:tcPr>
            <w:tcW w:w="174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Ark/WM Outrigger Balance Sheets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amounts from Ark and WM Outrigger Re that are contained within White Mountains’s consolidated balance sheets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December 31, 2025:</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3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vMerge w:val="restart"/>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Ark</w:t>
            </w: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WM Outrigger Re</w:t>
            </w:r>
          </w:p>
        </w:tc>
        <w:tc>
          <w:tcPr>
            <w:tcW w:w="120" w:type="dxa"/>
            <w:vAlign w:val="bottom"/>
            <w:vMerge w:val="restart"/>
          </w:tcPr>
          <w:p>
            <w:pPr>
              <w:spacing w:after="0"/>
              <w:rPr>
                <w:sz w:val="11"/>
                <w:szCs w:val="11"/>
                <w:color w:val="auto"/>
              </w:rPr>
            </w:pPr>
          </w:p>
        </w:tc>
        <w:tc>
          <w:tcPr>
            <w:tcW w:w="184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Eliminations and Segment</w:t>
            </w:r>
          </w:p>
        </w:tc>
        <w:tc>
          <w:tcPr>
            <w:tcW w:w="280" w:type="dxa"/>
            <w:vAlign w:val="bottom"/>
          </w:tcPr>
          <w:p>
            <w:pPr>
              <w:spacing w:after="0"/>
              <w:rPr>
                <w:sz w:val="11"/>
                <w:szCs w:val="11"/>
                <w:color w:val="auto"/>
              </w:rPr>
            </w:pPr>
          </w:p>
        </w:tc>
        <w:tc>
          <w:tcPr>
            <w:tcW w:w="94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9"/>
                <w:szCs w:val="19"/>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1,870.0</w:t>
            </w:r>
          </w:p>
        </w:tc>
        <w:tc>
          <w:tcPr>
            <w:tcW w:w="120" w:type="dxa"/>
            <w:vAlign w:val="bottom"/>
          </w:tcPr>
          <w:p>
            <w:pPr>
              <w:spacing w:after="0"/>
              <w:rPr>
                <w:sz w:val="19"/>
                <w:szCs w:val="19"/>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vMerge w:val="restart"/>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1,870.0</w:t>
            </w:r>
          </w:p>
        </w:tc>
        <w:tc>
          <w:tcPr>
            <w:tcW w:w="0" w:type="dxa"/>
            <w:vAlign w:val="bottom"/>
          </w:tcPr>
          <w:p>
            <w:pPr>
              <w:spacing w:after="0"/>
              <w:rPr>
                <w:sz w:val="1"/>
                <w:szCs w:val="1"/>
                <w:color w:val="auto"/>
              </w:rPr>
            </w:pPr>
          </w:p>
        </w:tc>
      </w:tr>
      <w:tr>
        <w:trPr>
          <w:trHeight w:val="225"/>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Fixed maturity investments, at fair value</w:t>
            </w:r>
          </w:p>
        </w:tc>
        <w:tc>
          <w:tcPr>
            <w:tcW w:w="3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equity securities, at fair value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399.2</w:t>
            </w:r>
          </w:p>
        </w:tc>
        <w:tc>
          <w:tcPr>
            <w:tcW w:w="0" w:type="dxa"/>
            <w:vAlign w:val="bottom"/>
          </w:tcPr>
          <w:p>
            <w:pPr>
              <w:spacing w:after="0"/>
              <w:rPr>
                <w:sz w:val="1"/>
                <w:szCs w:val="1"/>
                <w:color w:val="auto"/>
              </w:rPr>
            </w:pPr>
          </w:p>
        </w:tc>
      </w:tr>
      <w:tr>
        <w:trPr>
          <w:trHeight w:val="230"/>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Short-term investments, at fair value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900.5</w:t>
            </w:r>
          </w:p>
        </w:tc>
        <w:tc>
          <w:tcPr>
            <w:tcW w:w="0" w:type="dxa"/>
            <w:vAlign w:val="bottom"/>
          </w:tcPr>
          <w:p>
            <w:pPr>
              <w:spacing w:after="0"/>
              <w:rPr>
                <w:sz w:val="1"/>
                <w:szCs w:val="1"/>
                <w:color w:val="auto"/>
              </w:rPr>
            </w:pPr>
          </w:p>
        </w:tc>
      </w:tr>
      <w:tr>
        <w:trPr>
          <w:trHeight w:val="238"/>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737.7</w:t>
            </w:r>
          </w:p>
        </w:tc>
        <w:tc>
          <w:tcPr>
            <w:tcW w:w="0" w:type="dxa"/>
            <w:vAlign w:val="bottom"/>
          </w:tcPr>
          <w:p>
            <w:pPr>
              <w:spacing w:after="0"/>
              <w:rPr>
                <w:sz w:val="1"/>
                <w:szCs w:val="1"/>
                <w:color w:val="auto"/>
              </w:rPr>
            </w:pPr>
          </w:p>
        </w:tc>
      </w:tr>
      <w:tr>
        <w:trPr>
          <w:trHeight w:val="214"/>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3,789.7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117.7</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3,907.4</w:t>
            </w:r>
          </w:p>
        </w:tc>
        <w:tc>
          <w:tcPr>
            <w:tcW w:w="0" w:type="dxa"/>
            <w:vAlign w:val="bottom"/>
          </w:tcPr>
          <w:p>
            <w:pPr>
              <w:spacing w:after="0"/>
              <w:rPr>
                <w:sz w:val="1"/>
                <w:szCs w:val="1"/>
                <w:color w:val="auto"/>
              </w:rPr>
            </w:pPr>
          </w:p>
        </w:tc>
      </w:tr>
      <w:tr>
        <w:trPr>
          <w:trHeight w:val="22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97.3</w:t>
            </w:r>
          </w:p>
        </w:tc>
        <w:tc>
          <w:tcPr>
            <w:tcW w:w="0" w:type="dxa"/>
            <w:vAlign w:val="bottom"/>
          </w:tcPr>
          <w:p>
            <w:pPr>
              <w:spacing w:after="0"/>
              <w:rPr>
                <w:sz w:val="1"/>
                <w:szCs w:val="1"/>
                <w:color w:val="auto"/>
              </w:rPr>
            </w:pPr>
          </w:p>
        </w:tc>
      </w:tr>
      <w:tr>
        <w:trPr>
          <w:trHeight w:val="22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Reinsurance recoverables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1,179.3</w:t>
            </w:r>
          </w:p>
        </w:tc>
        <w:tc>
          <w:tcPr>
            <w:tcW w:w="0" w:type="dxa"/>
            <w:vAlign w:val="bottom"/>
          </w:tcPr>
          <w:p>
            <w:pPr>
              <w:spacing w:after="0"/>
              <w:rPr>
                <w:sz w:val="1"/>
                <w:szCs w:val="1"/>
                <w:color w:val="auto"/>
              </w:rPr>
            </w:pPr>
          </w:p>
        </w:tc>
      </w:tr>
      <w:tr>
        <w:trPr>
          <w:trHeight w:val="230"/>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Insurance premiums receivable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1,307.4</w:t>
            </w:r>
          </w:p>
        </w:tc>
        <w:tc>
          <w:tcPr>
            <w:tcW w:w="0" w:type="dxa"/>
            <w:vAlign w:val="bottom"/>
          </w:tcPr>
          <w:p>
            <w:pPr>
              <w:spacing w:after="0"/>
              <w:rPr>
                <w:sz w:val="1"/>
                <w:szCs w:val="1"/>
                <w:color w:val="auto"/>
              </w:rPr>
            </w:pPr>
          </w:p>
        </w:tc>
      </w:tr>
      <w:tr>
        <w:trPr>
          <w:trHeight w:val="22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300.2</w:t>
            </w:r>
          </w:p>
        </w:tc>
        <w:tc>
          <w:tcPr>
            <w:tcW w:w="0" w:type="dxa"/>
            <w:vAlign w:val="bottom"/>
          </w:tcPr>
          <w:p>
            <w:pPr>
              <w:spacing w:after="0"/>
              <w:rPr>
                <w:sz w:val="1"/>
                <w:szCs w:val="1"/>
                <w:color w:val="auto"/>
              </w:rPr>
            </w:pPr>
          </w:p>
        </w:tc>
      </w:tr>
      <w:tr>
        <w:trPr>
          <w:trHeight w:val="230"/>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292.5</w:t>
            </w:r>
          </w:p>
        </w:tc>
        <w:tc>
          <w:tcPr>
            <w:tcW w:w="0" w:type="dxa"/>
            <w:vAlign w:val="bottom"/>
          </w:tcPr>
          <w:p>
            <w:pPr>
              <w:spacing w:after="0"/>
              <w:rPr>
                <w:sz w:val="1"/>
                <w:szCs w:val="1"/>
                <w:color w:val="auto"/>
              </w:rPr>
            </w:pPr>
          </w:p>
        </w:tc>
      </w:tr>
      <w:tr>
        <w:trPr>
          <w:trHeight w:val="238"/>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136.6</w:t>
            </w:r>
          </w:p>
        </w:tc>
        <w:tc>
          <w:tcPr>
            <w:tcW w:w="0" w:type="dxa"/>
            <w:vAlign w:val="bottom"/>
          </w:tcPr>
          <w:p>
            <w:pPr>
              <w:spacing w:after="0"/>
              <w:rPr>
                <w:sz w:val="1"/>
                <w:szCs w:val="1"/>
                <w:color w:val="auto"/>
              </w:rPr>
            </w:pPr>
          </w:p>
        </w:tc>
      </w:tr>
      <w:tr>
        <w:trPr>
          <w:trHeight w:val="223"/>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7,133.7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126.7</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7,220.7</w:t>
            </w:r>
          </w:p>
        </w:tc>
        <w:tc>
          <w:tcPr>
            <w:tcW w:w="0" w:type="dxa"/>
            <w:vAlign w:val="bottom"/>
          </w:tcPr>
          <w:p>
            <w:pPr>
              <w:spacing w:after="0"/>
              <w:rPr>
                <w:sz w:val="1"/>
                <w:szCs w:val="1"/>
                <w:color w:val="auto"/>
              </w:rPr>
            </w:pPr>
          </w:p>
        </w:tc>
      </w:tr>
      <w:tr>
        <w:trPr>
          <w:trHeight w:val="21"/>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4700" w:type="dxa"/>
            <w:vAlign w:val="bottom"/>
            <w:gridSpan w:val="2"/>
            <w:vMerge w:val="continue"/>
          </w:tcPr>
          <w:p>
            <w:pPr>
              <w:spacing w:after="0"/>
              <w:rPr>
                <w:sz w:val="16"/>
                <w:szCs w:val="16"/>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2,585.6</w:t>
            </w:r>
          </w:p>
        </w:tc>
        <w:tc>
          <w:tcPr>
            <w:tcW w:w="120" w:type="dxa"/>
            <w:vAlign w:val="bottom"/>
          </w:tcPr>
          <w:p>
            <w:pPr>
              <w:spacing w:after="0"/>
              <w:rPr>
                <w:sz w:val="16"/>
                <w:szCs w:val="16"/>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20" w:type="dxa"/>
            <w:vAlign w:val="bottom"/>
          </w:tcPr>
          <w:p>
            <w:pPr>
              <w:spacing w:after="0"/>
              <w:rPr>
                <w:sz w:val="16"/>
                <w:szCs w:val="16"/>
                <w:color w:val="auto"/>
              </w:rPr>
            </w:pPr>
          </w:p>
        </w:tc>
        <w:tc>
          <w:tcPr>
            <w:tcW w:w="380" w:type="dxa"/>
            <w:vAlign w:val="bottom"/>
            <w:vMerge w:val="restart"/>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00" w:type="dxa"/>
            <w:vAlign w:val="bottom"/>
          </w:tcPr>
          <w:p>
            <w:pPr>
              <w:spacing w:after="0"/>
              <w:rPr>
                <w:sz w:val="16"/>
                <w:szCs w:val="16"/>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2,585.6</w:t>
            </w:r>
          </w:p>
        </w:tc>
        <w:tc>
          <w:tcPr>
            <w:tcW w:w="0" w:type="dxa"/>
            <w:vAlign w:val="bottom"/>
          </w:tcPr>
          <w:p>
            <w:pPr>
              <w:spacing w:after="0"/>
              <w:rPr>
                <w:sz w:val="1"/>
                <w:szCs w:val="1"/>
                <w:color w:val="auto"/>
              </w:rPr>
            </w:pPr>
          </w:p>
        </w:tc>
      </w:tr>
      <w:tr>
        <w:trPr>
          <w:trHeight w:val="226"/>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and LAE</w:t>
            </w:r>
          </w:p>
        </w:tc>
        <w:tc>
          <w:tcPr>
            <w:tcW w:w="3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Unearned insurance premiums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1,613.5</w:t>
            </w:r>
          </w:p>
        </w:tc>
        <w:tc>
          <w:tcPr>
            <w:tcW w:w="0" w:type="dxa"/>
            <w:vAlign w:val="bottom"/>
          </w:tcPr>
          <w:p>
            <w:pPr>
              <w:spacing w:after="0"/>
              <w:rPr>
                <w:sz w:val="1"/>
                <w:szCs w:val="1"/>
                <w:color w:val="auto"/>
              </w:rPr>
            </w:pPr>
          </w:p>
        </w:tc>
      </w:tr>
      <w:tr>
        <w:trPr>
          <w:trHeight w:val="22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Debt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159.3</w:t>
            </w:r>
          </w:p>
        </w:tc>
        <w:tc>
          <w:tcPr>
            <w:tcW w:w="0" w:type="dxa"/>
            <w:vAlign w:val="bottom"/>
          </w:tcPr>
          <w:p>
            <w:pPr>
              <w:spacing w:after="0"/>
              <w:rPr>
                <w:sz w:val="1"/>
                <w:szCs w:val="1"/>
                <w:color w:val="auto"/>
              </w:rPr>
            </w:pPr>
          </w:p>
        </w:tc>
      </w:tr>
      <w:tr>
        <w:trPr>
          <w:trHeight w:val="230"/>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Reinsurance payable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610.3</w:t>
            </w:r>
          </w:p>
        </w:tc>
        <w:tc>
          <w:tcPr>
            <w:tcW w:w="0" w:type="dxa"/>
            <w:vAlign w:val="bottom"/>
          </w:tcPr>
          <w:p>
            <w:pPr>
              <w:spacing w:after="0"/>
              <w:rPr>
                <w:sz w:val="1"/>
                <w:szCs w:val="1"/>
                <w:color w:val="auto"/>
              </w:rPr>
            </w:pPr>
          </w:p>
        </w:tc>
      </w:tr>
      <w:tr>
        <w:trPr>
          <w:trHeight w:val="22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338.3</w:t>
            </w:r>
          </w:p>
        </w:tc>
        <w:tc>
          <w:tcPr>
            <w:tcW w:w="0" w:type="dxa"/>
            <w:vAlign w:val="bottom"/>
          </w:tcPr>
          <w:p>
            <w:pPr>
              <w:spacing w:after="0"/>
              <w:rPr>
                <w:sz w:val="1"/>
                <w:szCs w:val="1"/>
                <w:color w:val="auto"/>
              </w:rPr>
            </w:pPr>
          </w:p>
        </w:tc>
      </w:tr>
      <w:tr>
        <w:trPr>
          <w:trHeight w:val="238"/>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Other liabilities </w:t>
            </w:r>
            <w:r>
              <w:rPr>
                <w:rFonts w:ascii="Times New Roman" w:cs="Times New Roman" w:eastAsia="Times New Roman" w:hAnsi="Times New Roman"/>
                <w:sz w:val="9"/>
                <w:szCs w:val="9"/>
                <w:color w:val="auto"/>
              </w:rPr>
              <w:t>(1)</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270.9</w:t>
            </w:r>
          </w:p>
        </w:tc>
        <w:tc>
          <w:tcPr>
            <w:tcW w:w="0" w:type="dxa"/>
            <w:vAlign w:val="bottom"/>
          </w:tcPr>
          <w:p>
            <w:pPr>
              <w:spacing w:after="0"/>
              <w:rPr>
                <w:sz w:val="1"/>
                <w:szCs w:val="1"/>
                <w:color w:val="auto"/>
              </w:rPr>
            </w:pPr>
          </w:p>
        </w:tc>
      </w:tr>
      <w:tr>
        <w:trPr>
          <w:trHeight w:val="218"/>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5,586.6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5,577.9</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6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1,099.3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95.7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1,195.0</w:t>
            </w:r>
          </w:p>
        </w:tc>
        <w:tc>
          <w:tcPr>
            <w:tcW w:w="0" w:type="dxa"/>
            <w:vAlign w:val="bottom"/>
          </w:tcPr>
          <w:p>
            <w:pPr>
              <w:spacing w:after="0"/>
              <w:rPr>
                <w:sz w:val="1"/>
                <w:szCs w:val="1"/>
                <w:color w:val="auto"/>
              </w:rPr>
            </w:pPr>
          </w:p>
        </w:tc>
      </w:tr>
      <w:tr>
        <w:trPr>
          <w:trHeight w:val="225"/>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White Mountains’s common shareholders’ equity</w:t>
            </w:r>
          </w:p>
        </w:tc>
        <w:tc>
          <w:tcPr>
            <w:tcW w:w="3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447.8</w:t>
            </w:r>
          </w:p>
        </w:tc>
        <w:tc>
          <w:tcPr>
            <w:tcW w:w="0" w:type="dxa"/>
            <w:vAlign w:val="bottom"/>
          </w:tcPr>
          <w:p>
            <w:pPr>
              <w:spacing w:after="0"/>
              <w:rPr>
                <w:sz w:val="1"/>
                <w:szCs w:val="1"/>
                <w:color w:val="auto"/>
              </w:rPr>
            </w:pPr>
          </w:p>
        </w:tc>
      </w:tr>
      <w:tr>
        <w:trPr>
          <w:trHeight w:val="22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1,547.1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95.7</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1,642.8</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7,133.7</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126.7</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7,220.7</w:t>
            </w:r>
          </w:p>
        </w:tc>
        <w:tc>
          <w:tcPr>
            <w:tcW w:w="0" w:type="dxa"/>
            <w:vAlign w:val="bottom"/>
          </w:tcPr>
          <w:p>
            <w:pPr>
              <w:spacing w:after="0"/>
              <w:rPr>
                <w:sz w:val="1"/>
                <w:szCs w:val="1"/>
                <w:color w:val="auto"/>
              </w:rPr>
            </w:pP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Tangible book value and tangible capital:</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1,547.1</w:t>
            </w:r>
          </w:p>
        </w:tc>
        <w:tc>
          <w:tcPr>
            <w:tcW w:w="120" w:type="dxa"/>
            <w:vAlign w:val="bottom"/>
          </w:tcPr>
          <w:p>
            <w:pPr>
              <w:spacing w:after="0"/>
              <w:rPr>
                <w:sz w:val="24"/>
                <w:szCs w:val="24"/>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95.7</w:t>
            </w:r>
          </w:p>
        </w:tc>
        <w:tc>
          <w:tcPr>
            <w:tcW w:w="120" w:type="dxa"/>
            <w:vAlign w:val="bottom"/>
          </w:tcPr>
          <w:p>
            <w:pPr>
              <w:spacing w:after="0"/>
              <w:rPr>
                <w:sz w:val="24"/>
                <w:szCs w:val="24"/>
                <w:color w:val="auto"/>
              </w:rPr>
            </w:pPr>
          </w:p>
        </w:tc>
        <w:tc>
          <w:tcPr>
            <w:tcW w:w="380" w:type="dxa"/>
            <w:vAlign w:val="bottom"/>
            <w:vMerge w:val="restart"/>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1,642.8</w:t>
            </w:r>
          </w:p>
        </w:tc>
        <w:tc>
          <w:tcPr>
            <w:tcW w:w="0" w:type="dxa"/>
            <w:vAlign w:val="bottom"/>
          </w:tcPr>
          <w:p>
            <w:pPr>
              <w:spacing w:after="0"/>
              <w:rPr>
                <w:sz w:val="1"/>
                <w:szCs w:val="1"/>
                <w:color w:val="auto"/>
              </w:rPr>
            </w:pPr>
          </w:p>
        </w:tc>
      </w:tr>
      <w:tr>
        <w:trPr>
          <w:trHeight w:val="225"/>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3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Less: goodwill and other intangible assets, net </w:t>
            </w:r>
            <w:r>
              <w:rPr>
                <w:rFonts w:ascii="Times New Roman" w:cs="Times New Roman" w:eastAsia="Times New Roman" w:hAnsi="Times New Roman"/>
                <w:sz w:val="9"/>
                <w:szCs w:val="9"/>
                <w:color w:val="auto"/>
              </w:rPr>
              <w:t>(2)</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(248.6)</w:t>
            </w:r>
          </w:p>
        </w:tc>
        <w:tc>
          <w:tcPr>
            <w:tcW w:w="0" w:type="dxa"/>
            <w:vAlign w:val="bottom"/>
          </w:tcPr>
          <w:p>
            <w:pPr>
              <w:spacing w:after="0"/>
              <w:rPr>
                <w:sz w:val="1"/>
                <w:szCs w:val="1"/>
                <w:color w:val="auto"/>
              </w:rPr>
            </w:pPr>
          </w:p>
        </w:tc>
      </w:tr>
      <w:tr>
        <w:trPr>
          <w:trHeight w:val="238"/>
        </w:trPr>
        <w:tc>
          <w:tcPr>
            <w:tcW w:w="4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Plus: contingent consideration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338.3</w:t>
            </w:r>
          </w:p>
        </w:tc>
        <w:tc>
          <w:tcPr>
            <w:tcW w:w="0" w:type="dxa"/>
            <w:vAlign w:val="bottom"/>
          </w:tcPr>
          <w:p>
            <w:pPr>
              <w:spacing w:after="0"/>
              <w:rPr>
                <w:sz w:val="1"/>
                <w:szCs w:val="1"/>
                <w:color w:val="auto"/>
              </w:rPr>
            </w:pPr>
          </w:p>
        </w:tc>
      </w:tr>
      <w:tr>
        <w:trPr>
          <w:trHeight w:val="214"/>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Total tangible book value </w:t>
            </w:r>
            <w:r>
              <w:rPr>
                <w:rFonts w:ascii="Times New Roman" w:cs="Times New Roman" w:eastAsia="Times New Roman" w:hAnsi="Times New Roman"/>
                <w:sz w:val="9"/>
                <w:szCs w:val="9"/>
                <w:color w:val="auto"/>
              </w:rPr>
              <w:t>(3)</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1,636.8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95.7</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1,732.5</w:t>
            </w:r>
          </w:p>
        </w:tc>
        <w:tc>
          <w:tcPr>
            <w:tcW w:w="0" w:type="dxa"/>
            <w:vAlign w:val="bottom"/>
          </w:tcPr>
          <w:p>
            <w:pPr>
              <w:spacing w:after="0"/>
              <w:rPr>
                <w:sz w:val="1"/>
                <w:szCs w:val="1"/>
                <w:color w:val="auto"/>
              </w:rPr>
            </w:pPr>
          </w:p>
        </w:tc>
      </w:tr>
      <w:tr>
        <w:trPr>
          <w:trHeight w:val="238"/>
        </w:trPr>
        <w:tc>
          <w:tcPr>
            <w:tcW w:w="4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Plus: debt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159.3</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Total tangible capital </w:t>
            </w:r>
            <w:r>
              <w:rPr>
                <w:rFonts w:ascii="Times New Roman" w:cs="Times New Roman" w:eastAsia="Times New Roman" w:hAnsi="Times New Roman"/>
                <w:sz w:val="9"/>
                <w:szCs w:val="9"/>
                <w:color w:val="auto"/>
              </w:rPr>
              <w:t>(3)</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1,796.1</w:t>
            </w:r>
          </w:p>
        </w:tc>
        <w:tc>
          <w:tcPr>
            <w:tcW w:w="1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95.7</w:t>
            </w:r>
          </w:p>
        </w:tc>
        <w:tc>
          <w:tcPr>
            <w:tcW w:w="1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1,891.8</w:t>
            </w:r>
          </w:p>
        </w:tc>
        <w:tc>
          <w:tcPr>
            <w:tcW w:w="0" w:type="dxa"/>
            <w:vAlign w:val="bottom"/>
          </w:tcPr>
          <w:p>
            <w:pPr>
              <w:spacing w:after="0"/>
              <w:rPr>
                <w:sz w:val="1"/>
                <w:szCs w:val="1"/>
                <w:color w:val="auto"/>
              </w:rPr>
            </w:pP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80" w:right="60" w:hanging="172"/>
        <w:spacing w:after="0" w:line="228" w:lineRule="auto"/>
        <w:tabs>
          <w:tab w:leader="none" w:pos="150" w:val="left"/>
        </w:tabs>
        <w:numPr>
          <w:ilvl w:val="0"/>
          <w:numId w:val="4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Amount includes $36.5 of dividends payable that are eliminated in White Mountains’s consolidated financial statements. For segment reporting, Ark’s dividends payable included within other liabilities in the Ark/WM Outrigger segment are eliminated against the offsetting dividends receivable included within other assets in Other Operations.</w:t>
      </w:r>
    </w:p>
    <w:p>
      <w:pPr>
        <w:ind w:left="140" w:hanging="132"/>
        <w:spacing w:after="0"/>
        <w:tabs>
          <w:tab w:leader="none" w:pos="140" w:val="left"/>
        </w:tabs>
        <w:numPr>
          <w:ilvl w:val="0"/>
          <w:numId w:val="4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Amount is net of $43.9 in deferred tax liabilities related to the intangible assets.</w:t>
      </w:r>
    </w:p>
    <w:p>
      <w:pPr>
        <w:spacing w:after="0" w:line="14" w:lineRule="exact"/>
        <w:rPr>
          <w:rFonts w:ascii="Times New Roman" w:cs="Times New Roman" w:eastAsia="Times New Roman" w:hAnsi="Times New Roman"/>
          <w:sz w:val="9"/>
          <w:szCs w:val="9"/>
          <w:color w:val="auto"/>
        </w:rPr>
      </w:pPr>
    </w:p>
    <w:p>
      <w:pPr>
        <w:ind w:left="140" w:hanging="132"/>
        <w:spacing w:after="0" w:line="228" w:lineRule="auto"/>
        <w:tabs>
          <w:tab w:leader="none" w:pos="140" w:val="left"/>
        </w:tabs>
        <w:numPr>
          <w:ilvl w:val="0"/>
          <w:numId w:val="4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b w:val="1"/>
          <w:bCs w:val="1"/>
          <w:color w:val="auto"/>
        </w:rPr>
        <w:t>“NON-GAAP FINANCIAL MEASURES”</w:t>
      </w:r>
      <w:r>
        <w:rPr>
          <w:rFonts w:ascii="Times New Roman" w:cs="Times New Roman" w:eastAsia="Times New Roman" w:hAnsi="Times New Roman"/>
          <w:sz w:val="12"/>
          <w:szCs w:val="12"/>
          <w:color w:val="auto"/>
        </w:rPr>
        <w:t xml:space="preserve"> on page 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0"/>
        </w:trPr>
        <w:tc>
          <w:tcPr>
            <w:tcW w:w="4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320" w:type="dxa"/>
            <w:vAlign w:val="bottom"/>
            <w:tcBorders>
              <w:top w:val="single" w:sz="8" w:color="auto"/>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4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Pr>
          <w:p>
            <w:pPr>
              <w:spacing w:after="0"/>
              <w:rPr>
                <w:sz w:val="11"/>
                <w:szCs w:val="11"/>
                <w:color w:val="auto"/>
              </w:rPr>
            </w:pP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Ark</w:t>
            </w:r>
          </w:p>
        </w:tc>
        <w:tc>
          <w:tcPr>
            <w:tcW w:w="180" w:type="dxa"/>
            <w:vAlign w:val="bottom"/>
          </w:tcPr>
          <w:p>
            <w:pPr>
              <w:spacing w:after="0"/>
              <w:rPr>
                <w:sz w:val="11"/>
                <w:szCs w:val="11"/>
                <w:color w:val="auto"/>
              </w:rPr>
            </w:pPr>
          </w:p>
        </w:tc>
        <w:tc>
          <w:tcPr>
            <w:tcW w:w="1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WM Outrigger Re</w:t>
            </w:r>
          </w:p>
        </w:tc>
        <w:tc>
          <w:tcPr>
            <w:tcW w:w="140" w:type="dxa"/>
            <w:vAlign w:val="bottom"/>
          </w:tcPr>
          <w:p>
            <w:pPr>
              <w:spacing w:after="0"/>
              <w:rPr>
                <w:sz w:val="11"/>
                <w:szCs w:val="11"/>
                <w:color w:val="auto"/>
              </w:rPr>
            </w:pPr>
          </w:p>
        </w:tc>
        <w:tc>
          <w:tcPr>
            <w:tcW w:w="1620" w:type="dxa"/>
            <w:vAlign w:val="bottom"/>
            <w:gridSpan w:val="2"/>
          </w:tcPr>
          <w:p>
            <w:pPr>
              <w:ind w:left="160"/>
              <w:spacing w:after="0" w:line="137" w:lineRule="exact"/>
              <w:rPr>
                <w:sz w:val="20"/>
                <w:szCs w:val="20"/>
                <w:color w:val="auto"/>
              </w:rPr>
            </w:pPr>
            <w:r>
              <w:rPr>
                <w:rFonts w:ascii="Times New Roman" w:cs="Times New Roman" w:eastAsia="Times New Roman" w:hAnsi="Times New Roman"/>
                <w:sz w:val="14"/>
                <w:szCs w:val="14"/>
                <w:b w:val="1"/>
                <w:bCs w:val="1"/>
                <w:color w:val="auto"/>
              </w:rPr>
              <w:t>Eliminations and</w:t>
            </w:r>
          </w:p>
        </w:tc>
        <w:tc>
          <w:tcPr>
            <w:tcW w:w="260" w:type="dxa"/>
            <w:vAlign w:val="bottom"/>
          </w:tcPr>
          <w:p>
            <w:pPr>
              <w:spacing w:after="0"/>
              <w:rPr>
                <w:sz w:val="11"/>
                <w:szCs w:val="11"/>
                <w:color w:val="auto"/>
              </w:rPr>
            </w:pPr>
          </w:p>
        </w:tc>
        <w:tc>
          <w:tcPr>
            <w:tcW w:w="9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Segment Adjustments</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Fixed maturity investments, at fair value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1,917.9</w:t>
            </w:r>
          </w:p>
        </w:tc>
        <w:tc>
          <w:tcPr>
            <w:tcW w:w="0" w:type="dxa"/>
            <w:vAlign w:val="bottom"/>
          </w:tcPr>
          <w:p>
            <w:pPr>
              <w:spacing w:after="0"/>
              <w:rPr>
                <w:sz w:val="1"/>
                <w:szCs w:val="1"/>
                <w:color w:val="auto"/>
              </w:rPr>
            </w:pPr>
          </w:p>
        </w:tc>
      </w:tr>
      <w:tr>
        <w:trPr>
          <w:trHeight w:val="229"/>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equity securities, at fair value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0" w:type="dxa"/>
            <w:vAlign w:val="bottom"/>
          </w:tcPr>
          <w:p>
            <w:pPr>
              <w:spacing w:after="0"/>
              <w:rPr>
                <w:sz w:val="1"/>
                <w:szCs w:val="1"/>
                <w:color w:val="auto"/>
              </w:rPr>
            </w:pPr>
          </w:p>
        </w:tc>
      </w:tr>
      <w:tr>
        <w:trPr>
          <w:trHeight w:val="229"/>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Short-term investments, at fair value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0" w:type="dxa"/>
            <w:vAlign w:val="bottom"/>
          </w:tcPr>
          <w:p>
            <w:pPr>
              <w:spacing w:after="0"/>
              <w:rPr>
                <w:sz w:val="1"/>
                <w:szCs w:val="1"/>
                <w:color w:val="auto"/>
              </w:rPr>
            </w:pPr>
          </w:p>
        </w:tc>
      </w:tr>
      <w:tr>
        <w:trPr>
          <w:trHeight w:val="234"/>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0" w:type="dxa"/>
            <w:vAlign w:val="bottom"/>
          </w:tcPr>
          <w:p>
            <w:pPr>
              <w:spacing w:after="0"/>
              <w:rPr>
                <w:sz w:val="1"/>
                <w:szCs w:val="1"/>
                <w:color w:val="auto"/>
              </w:rPr>
            </w:pPr>
          </w:p>
        </w:tc>
      </w:tr>
      <w:tr>
        <w:trPr>
          <w:trHeight w:val="218"/>
        </w:trPr>
        <w:tc>
          <w:tcPr>
            <w:tcW w:w="4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3,926.5</w:t>
            </w:r>
          </w:p>
        </w:tc>
        <w:tc>
          <w:tcPr>
            <w:tcW w:w="0" w:type="dxa"/>
            <w:vAlign w:val="bottom"/>
          </w:tcPr>
          <w:p>
            <w:pPr>
              <w:spacing w:after="0"/>
              <w:rPr>
                <w:sz w:val="1"/>
                <w:szCs w:val="1"/>
                <w:color w:val="auto"/>
              </w:rPr>
            </w:pPr>
          </w:p>
        </w:tc>
      </w:tr>
      <w:tr>
        <w:trPr>
          <w:trHeight w:val="230"/>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29"/>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Reinsurance recoverables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0" w:type="dxa"/>
            <w:vAlign w:val="bottom"/>
          </w:tcPr>
          <w:p>
            <w:pPr>
              <w:spacing w:after="0"/>
              <w:rPr>
                <w:sz w:val="1"/>
                <w:szCs w:val="1"/>
                <w:color w:val="auto"/>
              </w:rPr>
            </w:pPr>
          </w:p>
        </w:tc>
      </w:tr>
      <w:tr>
        <w:trPr>
          <w:trHeight w:val="230"/>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Insurance premiums receivable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0" w:type="dxa"/>
            <w:vAlign w:val="bottom"/>
          </w:tcPr>
          <w:p>
            <w:pPr>
              <w:spacing w:after="0"/>
              <w:rPr>
                <w:sz w:val="1"/>
                <w:szCs w:val="1"/>
                <w:color w:val="auto"/>
              </w:rPr>
            </w:pPr>
          </w:p>
        </w:tc>
      </w:tr>
      <w:tr>
        <w:trPr>
          <w:trHeight w:val="229"/>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29"/>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0" w:type="dxa"/>
            <w:vAlign w:val="bottom"/>
          </w:tcPr>
          <w:p>
            <w:pPr>
              <w:spacing w:after="0"/>
              <w:rPr>
                <w:sz w:val="1"/>
                <w:szCs w:val="1"/>
                <w:color w:val="auto"/>
              </w:rPr>
            </w:pPr>
          </w:p>
        </w:tc>
      </w:tr>
      <w:tr>
        <w:trPr>
          <w:trHeight w:val="234"/>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23"/>
        </w:trPr>
        <w:tc>
          <w:tcPr>
            <w:tcW w:w="4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6,146.2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6,354.1</w:t>
            </w:r>
          </w:p>
        </w:tc>
        <w:tc>
          <w:tcPr>
            <w:tcW w:w="0" w:type="dxa"/>
            <w:vAlign w:val="bottom"/>
          </w:tcPr>
          <w:p>
            <w:pPr>
              <w:spacing w:after="0"/>
              <w:rPr>
                <w:sz w:val="1"/>
                <w:szCs w:val="1"/>
                <w:color w:val="auto"/>
              </w:rPr>
            </w:pPr>
          </w:p>
        </w:tc>
      </w:tr>
      <w:tr>
        <w:trPr>
          <w:trHeight w:val="21"/>
        </w:trPr>
        <w:tc>
          <w:tcPr>
            <w:tcW w:w="4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43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and LAE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2,481.0</w:t>
            </w:r>
          </w:p>
        </w:tc>
        <w:tc>
          <w:tcPr>
            <w:tcW w:w="0" w:type="dxa"/>
            <w:vAlign w:val="bottom"/>
          </w:tcPr>
          <w:p>
            <w:pPr>
              <w:spacing w:after="0"/>
              <w:rPr>
                <w:sz w:val="1"/>
                <w:szCs w:val="1"/>
                <w:color w:val="auto"/>
              </w:rPr>
            </w:pPr>
          </w:p>
        </w:tc>
      </w:tr>
      <w:tr>
        <w:trPr>
          <w:trHeight w:val="230"/>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Unearned insurance premiums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0" w:type="dxa"/>
            <w:vAlign w:val="bottom"/>
          </w:tcPr>
          <w:p>
            <w:pPr>
              <w:spacing w:after="0"/>
              <w:rPr>
                <w:sz w:val="1"/>
                <w:szCs w:val="1"/>
                <w:color w:val="auto"/>
              </w:rPr>
            </w:pPr>
          </w:p>
        </w:tc>
      </w:tr>
      <w:tr>
        <w:trPr>
          <w:trHeight w:val="229"/>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Debt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0" w:type="dxa"/>
            <w:vAlign w:val="bottom"/>
          </w:tcPr>
          <w:p>
            <w:pPr>
              <w:spacing w:after="0"/>
              <w:rPr>
                <w:sz w:val="1"/>
                <w:szCs w:val="1"/>
                <w:color w:val="auto"/>
              </w:rPr>
            </w:pPr>
          </w:p>
        </w:tc>
      </w:tr>
      <w:tr>
        <w:trPr>
          <w:trHeight w:val="230"/>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Reinsurance payable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0" w:type="dxa"/>
            <w:vAlign w:val="bottom"/>
          </w:tcPr>
          <w:p>
            <w:pPr>
              <w:spacing w:after="0"/>
              <w:rPr>
                <w:sz w:val="1"/>
                <w:szCs w:val="1"/>
                <w:color w:val="auto"/>
              </w:rPr>
            </w:pPr>
          </w:p>
        </w:tc>
      </w:tr>
      <w:tr>
        <w:trPr>
          <w:trHeight w:val="229"/>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0" w:type="dxa"/>
            <w:vAlign w:val="bottom"/>
          </w:tcPr>
          <w:p>
            <w:pPr>
              <w:spacing w:after="0"/>
              <w:rPr>
                <w:sz w:val="1"/>
                <w:szCs w:val="1"/>
                <w:color w:val="auto"/>
              </w:rPr>
            </w:pPr>
          </w:p>
        </w:tc>
      </w:tr>
      <w:tr>
        <w:trPr>
          <w:trHeight w:val="234"/>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0" w:type="dxa"/>
            <w:vAlign w:val="bottom"/>
          </w:tcPr>
          <w:p>
            <w:pPr>
              <w:spacing w:after="0"/>
              <w:rPr>
                <w:sz w:val="1"/>
                <w:szCs w:val="1"/>
                <w:color w:val="auto"/>
              </w:rPr>
            </w:pPr>
          </w:p>
        </w:tc>
      </w:tr>
      <w:tr>
        <w:trPr>
          <w:trHeight w:val="218"/>
        </w:trPr>
        <w:tc>
          <w:tcPr>
            <w:tcW w:w="4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4,528.5</w:t>
            </w:r>
          </w:p>
        </w:tc>
        <w:tc>
          <w:tcPr>
            <w:tcW w:w="0" w:type="dxa"/>
            <w:vAlign w:val="bottom"/>
          </w:tcPr>
          <w:p>
            <w:pPr>
              <w:spacing w:after="0"/>
              <w:rPr>
                <w:sz w:val="1"/>
                <w:szCs w:val="1"/>
                <w:color w:val="auto"/>
              </w:rPr>
            </w:pPr>
          </w:p>
        </w:tc>
      </w:tr>
      <w:tr>
        <w:trPr>
          <w:trHeight w:val="23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White Mountains’s common shareholders’ equity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1,360.4</w:t>
            </w:r>
          </w:p>
        </w:tc>
        <w:tc>
          <w:tcPr>
            <w:tcW w:w="0" w:type="dxa"/>
            <w:vAlign w:val="bottom"/>
          </w:tcPr>
          <w:p>
            <w:pPr>
              <w:spacing w:after="0"/>
              <w:rPr>
                <w:sz w:val="1"/>
                <w:szCs w:val="1"/>
                <w:color w:val="auto"/>
              </w:rPr>
            </w:pPr>
          </w:p>
        </w:tc>
      </w:tr>
      <w:tr>
        <w:trPr>
          <w:trHeight w:val="234"/>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0" w:type="dxa"/>
            <w:vAlign w:val="bottom"/>
          </w:tcPr>
          <w:p>
            <w:pPr>
              <w:spacing w:after="0"/>
              <w:rPr>
                <w:sz w:val="1"/>
                <w:szCs w:val="1"/>
                <w:color w:val="auto"/>
              </w:rPr>
            </w:pPr>
          </w:p>
        </w:tc>
      </w:tr>
      <w:tr>
        <w:trPr>
          <w:trHeight w:val="223"/>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1,825.6</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6,146.2</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6,354.1</w:t>
            </w:r>
          </w:p>
        </w:tc>
        <w:tc>
          <w:tcPr>
            <w:tcW w:w="0" w:type="dxa"/>
            <w:vAlign w:val="bottom"/>
          </w:tcPr>
          <w:p>
            <w:pPr>
              <w:spacing w:after="0"/>
              <w:rPr>
                <w:sz w:val="1"/>
                <w:szCs w:val="1"/>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9"/>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Tangible book value and tangible capital:</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1,825.6</w:t>
            </w:r>
          </w:p>
        </w:tc>
        <w:tc>
          <w:tcPr>
            <w:tcW w:w="0" w:type="dxa"/>
            <w:vAlign w:val="bottom"/>
          </w:tcPr>
          <w:p>
            <w:pPr>
              <w:spacing w:after="0"/>
              <w:rPr>
                <w:sz w:val="1"/>
                <w:szCs w:val="1"/>
                <w:color w:val="auto"/>
              </w:rPr>
            </w:pPr>
          </w:p>
        </w:tc>
      </w:tr>
      <w:tr>
        <w:trPr>
          <w:trHeight w:val="230"/>
        </w:trPr>
        <w:tc>
          <w:tcPr>
            <w:tcW w:w="4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Less: goodwill and other intangible assets, net </w:t>
            </w:r>
            <w:r>
              <w:rPr>
                <w:rFonts w:ascii="Times New Roman" w:cs="Times New Roman" w:eastAsia="Times New Roman" w:hAnsi="Times New Roman"/>
                <w:sz w:val="9"/>
                <w:szCs w:val="9"/>
                <w:color w:val="auto"/>
              </w:rPr>
              <w:t>(1)</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0" w:type="dxa"/>
            <w:vAlign w:val="bottom"/>
          </w:tcPr>
          <w:p>
            <w:pPr>
              <w:spacing w:after="0"/>
              <w:rPr>
                <w:sz w:val="1"/>
                <w:szCs w:val="1"/>
                <w:color w:val="auto"/>
              </w:rPr>
            </w:pPr>
          </w:p>
        </w:tc>
      </w:tr>
      <w:tr>
        <w:trPr>
          <w:trHeight w:val="234"/>
        </w:trPr>
        <w:tc>
          <w:tcPr>
            <w:tcW w:w="4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Plus: contingent consideration</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0" w:type="dxa"/>
            <w:vAlign w:val="bottom"/>
          </w:tcPr>
          <w:p>
            <w:pPr>
              <w:spacing w:after="0"/>
              <w:rPr>
                <w:sz w:val="1"/>
                <w:szCs w:val="1"/>
                <w:color w:val="auto"/>
              </w:rPr>
            </w:pPr>
          </w:p>
        </w:tc>
      </w:tr>
      <w:tr>
        <w:trPr>
          <w:trHeight w:val="218"/>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Total tangible book value </w:t>
            </w:r>
            <w:r>
              <w:rPr>
                <w:rFonts w:ascii="Times New Roman" w:cs="Times New Roman" w:eastAsia="Times New Roman" w:hAnsi="Times New Roman"/>
                <w:sz w:val="9"/>
                <w:szCs w:val="9"/>
                <w:color w:val="auto"/>
              </w:rPr>
              <w:t>(2)</w:t>
            </w: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1,905.3</w:t>
            </w:r>
          </w:p>
        </w:tc>
        <w:tc>
          <w:tcPr>
            <w:tcW w:w="0" w:type="dxa"/>
            <w:vAlign w:val="bottom"/>
          </w:tcPr>
          <w:p>
            <w:pPr>
              <w:spacing w:after="0"/>
              <w:rPr>
                <w:sz w:val="1"/>
                <w:szCs w:val="1"/>
                <w:color w:val="auto"/>
              </w:rPr>
            </w:pPr>
          </w:p>
        </w:tc>
      </w:tr>
      <w:tr>
        <w:trPr>
          <w:trHeight w:val="234"/>
        </w:trPr>
        <w:tc>
          <w:tcPr>
            <w:tcW w:w="4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Plus: debt</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Total tangible capital </w:t>
            </w:r>
            <w:r>
              <w:rPr>
                <w:rFonts w:ascii="Times New Roman" w:cs="Times New Roman" w:eastAsia="Times New Roman" w:hAnsi="Times New Roman"/>
                <w:sz w:val="9"/>
                <w:szCs w:val="9"/>
                <w:color w:val="auto"/>
              </w:rPr>
              <w:t>(2)</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1,833.3</w:t>
            </w:r>
          </w:p>
        </w:tc>
        <w:tc>
          <w:tcPr>
            <w:tcW w:w="10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2,065.0</w:t>
            </w:r>
          </w:p>
        </w:tc>
        <w:tc>
          <w:tcPr>
            <w:tcW w:w="0" w:type="dxa"/>
            <w:vAlign w:val="bottom"/>
          </w:tcPr>
          <w:p>
            <w:pPr>
              <w:spacing w:after="0"/>
              <w:rPr>
                <w:sz w:val="1"/>
                <w:szCs w:val="1"/>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140" w:hanging="132"/>
        <w:spacing w:after="0"/>
        <w:tabs>
          <w:tab w:leader="none" w:pos="140" w:val="left"/>
        </w:tabs>
        <w:numPr>
          <w:ilvl w:val="0"/>
          <w:numId w:val="4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Amount is net of $43.9 in deferred tax liabilities related to the intangible assets.</w:t>
      </w:r>
    </w:p>
    <w:p>
      <w:pPr>
        <w:ind w:left="140" w:hanging="132"/>
        <w:spacing w:after="0"/>
        <w:tabs>
          <w:tab w:leader="none" w:pos="140" w:val="left"/>
        </w:tabs>
        <w:numPr>
          <w:ilvl w:val="0"/>
          <w:numId w:val="4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b w:val="1"/>
          <w:bCs w:val="1"/>
          <w:color w:val="auto"/>
        </w:rPr>
        <w:t>“NON-GAAP FINANCIAL MEASURES”</w:t>
      </w:r>
      <w:r>
        <w:rPr>
          <w:rFonts w:ascii="Times New Roman" w:cs="Times New Roman" w:eastAsia="Times New Roman" w:hAnsi="Times New Roman"/>
          <w:sz w:val="14"/>
          <w:szCs w:val="14"/>
          <w:color w:val="auto"/>
        </w:rPr>
        <w:t xml:space="preserve"> on page 70.</w:t>
      </w:r>
    </w:p>
    <w:p>
      <w:pPr>
        <w:spacing w:after="0" w:line="200" w:lineRule="exact"/>
        <w:rPr>
          <w:sz w:val="20"/>
          <w:szCs w:val="20"/>
          <w:color w:val="auto"/>
        </w:rPr>
      </w:pPr>
    </w:p>
    <w:p>
      <w:pPr>
        <w:spacing w:after="0" w:line="3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970" w:right="10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Kudu</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Kudu provides capital solutions for boutique asset and wealth managers for a variety of purposes including generational ownership transfers, management buyouts, acquisition and growth finance and legacy partner liquidity. Kudu also provides strategic advice to managers from time to time.</w:t>
      </w:r>
    </w:p>
    <w:p>
      <w:pPr>
        <w:spacing w:after="0" w:line="252" w:lineRule="auto"/>
        <w:rPr>
          <w:sz w:val="20"/>
          <w:szCs w:val="20"/>
          <w:color w:val="auto"/>
        </w:rPr>
      </w:pPr>
      <w:r>
        <w:rPr>
          <w:rFonts w:ascii="Times New Roman" w:cs="Times New Roman" w:eastAsia="Times New Roman" w:hAnsi="Times New Roman"/>
          <w:sz w:val="18"/>
          <w:szCs w:val="18"/>
          <w:color w:val="auto"/>
        </w:rPr>
        <w:t>Kudu deployed a total of $21 million, including transaction costs, into one new asset management firm in the first quarter of 2026. As of March 31, 2026, Kudu had deployed a total of $1.2 billion, including transaction costs, into 31 asset and wealth management firms globally, including three that have been exited. As of March 31, 2026, the asset and wealth management firms have combined AUM of approximately $155 billion, spanning a range of asset classes, including real estate, real assets, wealth management, hedge funds, private equity and alternative credit strategies. Since inception, Kudu’s capital was deployed at an initial average gross cash yield at inception of approximately 9.3% based on expected cash flows in the first year following deployment. The following table presents the components of GAAP net income (loss), EBITDA and adjusted EBITDA included in the Kudu segment for the three months ended March 31, 2026 and 2025:</w:t>
      </w:r>
    </w:p>
    <w:p>
      <w:pPr>
        <w:spacing w:after="0" w:line="92"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6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6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17"/>
                <w:szCs w:val="17"/>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0"/>
        </w:trPr>
        <w:tc>
          <w:tcPr>
            <w:tcW w:w="6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Net investment income </w:t>
            </w:r>
            <w:r>
              <w:rPr>
                <w:rFonts w:ascii="Times New Roman" w:cs="Times New Roman" w:eastAsia="Times New Roman" w:hAnsi="Times New Roman"/>
                <w:sz w:val="9"/>
                <w:szCs w:val="9"/>
                <w:color w:val="auto"/>
              </w:rPr>
              <w:t>(1)</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30"/>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realized and unrealized investment gains (losses)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38"/>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4"/>
        </w:trPr>
        <w:tc>
          <w:tcPr>
            <w:tcW w:w="6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29"/>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8"/>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6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expenses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4"/>
        </w:trPr>
        <w:tc>
          <w:tcPr>
            <w:tcW w:w="6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GAAP pre-tax income (loss)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38"/>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8"/>
        </w:trPr>
        <w:tc>
          <w:tcPr>
            <w:tcW w:w="6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GAAP net income (loss)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9"/>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back:</w:t>
            </w:r>
          </w:p>
        </w:tc>
        <w:tc>
          <w:tcPr>
            <w:tcW w:w="360" w:type="dxa"/>
            <w:vAlign w:val="bottom"/>
          </w:tcPr>
          <w:p>
            <w:pPr>
              <w:spacing w:after="0"/>
              <w:rPr>
                <w:sz w:val="19"/>
                <w:szCs w:val="19"/>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6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6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 — depreciation</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6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other intangible assets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8"/>
        </w:trPr>
        <w:tc>
          <w:tcPr>
            <w:tcW w:w="6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9"/>
                <w:szCs w:val="9"/>
                <w:color w:val="auto"/>
              </w:rPr>
              <w:t>(2)</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30"/>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Exclude:</w:t>
            </w:r>
          </w:p>
        </w:tc>
        <w:tc>
          <w:tcPr>
            <w:tcW w:w="360" w:type="dxa"/>
            <w:vAlign w:val="bottom"/>
          </w:tcPr>
          <w:p>
            <w:pPr>
              <w:spacing w:after="0"/>
              <w:rPr>
                <w:sz w:val="19"/>
                <w:szCs w:val="19"/>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realized and unrealized investment (gains) losses</w:t>
            </w: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38"/>
        </w:trPr>
        <w:tc>
          <w:tcPr>
            <w:tcW w:w="6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 expenses</w:t>
            </w:r>
          </w:p>
        </w:tc>
        <w:tc>
          <w:tcPr>
            <w:tcW w:w="3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9"/>
                <w:szCs w:val="9"/>
                <w:color w:val="auto"/>
              </w:rPr>
              <w:t>(2)</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0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620" w:hanging="126"/>
        <w:spacing w:after="0"/>
        <w:tabs>
          <w:tab w:leader="none" w:pos="620" w:val="left"/>
        </w:tabs>
        <w:numPr>
          <w:ilvl w:val="0"/>
          <w:numId w:val="4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investment income includes revenues from Participation Contracts and income from short-term and other long-term investments.</w:t>
      </w:r>
    </w:p>
    <w:p>
      <w:pPr>
        <w:spacing w:after="0" w:line="27" w:lineRule="exact"/>
        <w:rPr>
          <w:rFonts w:ascii="Times New Roman" w:cs="Times New Roman" w:eastAsia="Times New Roman" w:hAnsi="Times New Roman"/>
          <w:sz w:val="9"/>
          <w:szCs w:val="9"/>
          <w:color w:val="auto"/>
        </w:rPr>
      </w:pPr>
    </w:p>
    <w:p>
      <w:pPr>
        <w:ind w:left="620" w:hanging="126"/>
        <w:spacing w:after="0" w:line="228" w:lineRule="auto"/>
        <w:tabs>
          <w:tab w:leader="none" w:pos="620" w:val="left"/>
        </w:tabs>
        <w:numPr>
          <w:ilvl w:val="0"/>
          <w:numId w:val="4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b w:val="1"/>
          <w:bCs w:val="1"/>
          <w:color w:val="auto"/>
        </w:rPr>
        <w:t>“NON-GAAP FINANCIAL MEASURES”</w:t>
      </w:r>
      <w:r>
        <w:rPr>
          <w:rFonts w:ascii="Times New Roman" w:cs="Times New Roman" w:eastAsia="Times New Roman" w:hAnsi="Times New Roman"/>
          <w:sz w:val="12"/>
          <w:szCs w:val="12"/>
          <w:color w:val="auto"/>
        </w:rPr>
        <w:t xml:space="preserve"> on page 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The following table presents the changes to the fair value of Kudu’s Participation Contracts 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68580</wp:posOffset>
            </wp:positionV>
            <wp:extent cx="66694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69405" cy="8255"/>
                    </a:xfrm>
                    <a:prstGeom prst="rect">
                      <a:avLst/>
                    </a:prstGeom>
                    <a:noFill/>
                  </pic:spPr>
                </pic:pic>
              </a:graphicData>
            </a:graphic>
          </wp:anchor>
        </w:drawing>
      </w:r>
    </w:p>
    <w:p>
      <w:pPr>
        <w:spacing w:after="0" w:line="9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7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80" w:type="dxa"/>
            <w:vAlign w:val="bottom"/>
            <w:tcBorders>
              <w:top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700" w:type="dxa"/>
            <w:vAlign w:val="bottom"/>
            <w:tcBorders>
              <w:top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7620</wp:posOffset>
            </wp:positionV>
            <wp:extent cx="66694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69405" cy="8255"/>
                    </a:xfrm>
                    <a:prstGeom prst="rect">
                      <a:avLst/>
                    </a:prstGeom>
                    <a:noFill/>
                  </pic:spPr>
                </pic:pic>
              </a:graphicData>
            </a:graphic>
          </wp:anchor>
        </w:drawing>
      </w:r>
    </w:p>
    <w:p>
      <w:pPr>
        <w:sectPr>
          <w:pgSz w:w="11900" w:h="16838" w:orient="portrait"/>
          <w:cols w:equalWidth="0" w:num="1">
            <w:col w:w="11040"/>
          </w:cols>
          <w:pgMar w:left="320" w:top="891" w:right="539" w:bottom="1440" w:gutter="0" w:footer="0" w:header="0"/>
        </w:sectPr>
      </w:pP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Beginning balance of Kudu’s Participation Contracts </w:t>
      </w:r>
      <w:r>
        <w:rPr>
          <w:rFonts w:ascii="Times New Roman" w:cs="Times New Roman" w:eastAsia="Times New Roman" w:hAnsi="Times New Roman"/>
          <w:sz w:val="9"/>
          <w:szCs w:val="9"/>
          <w:color w:val="auto"/>
        </w:rPr>
        <w:t>(1)</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xml:space="preserve">Contributions to Participation Contracts </w:t>
      </w:r>
      <w:r>
        <w:rPr>
          <w:rFonts w:ascii="Times New Roman" w:cs="Times New Roman" w:eastAsia="Times New Roman" w:hAnsi="Times New Roman"/>
          <w:sz w:val="9"/>
          <w:szCs w:val="9"/>
          <w:color w:val="auto"/>
        </w:rPr>
        <w:t>(2)</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Proceeds from Participation Contracts sold</w:t>
      </w:r>
    </w:p>
    <w:p>
      <w:pPr>
        <w:spacing w:after="0" w:line="23" w:lineRule="exact"/>
        <w:rPr>
          <w:sz w:val="20"/>
          <w:szCs w:val="20"/>
          <w:color w:val="auto"/>
        </w:rPr>
      </w:pPr>
    </w:p>
    <w:p>
      <w:pPr>
        <w:ind w:left="340" w:right="514" w:hanging="134"/>
        <w:spacing w:after="0" w:line="234" w:lineRule="auto"/>
        <w:rPr>
          <w:sz w:val="20"/>
          <w:szCs w:val="20"/>
          <w:color w:val="auto"/>
        </w:rPr>
      </w:pPr>
      <w:r>
        <w:rPr>
          <w:rFonts w:ascii="Times New Roman" w:cs="Times New Roman" w:eastAsia="Times New Roman" w:hAnsi="Times New Roman"/>
          <w:sz w:val="18"/>
          <w:szCs w:val="18"/>
          <w:color w:val="auto"/>
        </w:rPr>
        <w:t xml:space="preserve">Net realized and unrealized investment gains (losses) on Participation Contracts sold and pending sale </w:t>
      </w:r>
      <w:r>
        <w:rPr>
          <w:rFonts w:ascii="Times New Roman" w:cs="Times New Roman" w:eastAsia="Times New Roman" w:hAnsi="Times New Roman"/>
          <w:sz w:val="9"/>
          <w:szCs w:val="9"/>
          <w:color w:val="auto"/>
        </w:rPr>
        <w:t>(3)</w:t>
      </w:r>
    </w:p>
    <w:p>
      <w:pPr>
        <w:spacing w:after="0" w:line="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xml:space="preserve">Net unrealized investment gains (losses) on Participation Contracts - all other </w:t>
      </w:r>
      <w:r>
        <w:rPr>
          <w:rFonts w:ascii="Times New Roman" w:cs="Times New Roman" w:eastAsia="Times New Roman" w:hAnsi="Times New Roman"/>
          <w:sz w:val="9"/>
          <w:szCs w:val="9"/>
          <w:color w:val="auto"/>
        </w:rPr>
        <w:t>(4)</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Ending balance of Kudu’s Participation Contracts </w:t>
      </w:r>
      <w:r>
        <w:rPr>
          <w:rFonts w:ascii="Times New Roman" w:cs="Times New Roman" w:eastAsia="Times New Roman" w:hAnsi="Times New Roman"/>
          <w:sz w:val="9"/>
          <w:szCs w:val="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66694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43180</wp:posOffset>
            </wp:positionV>
            <wp:extent cx="66694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694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1006" w:hanging="1006"/>
        <w:spacing w:after="0"/>
        <w:tabs>
          <w:tab w:leader="none" w:pos="1006"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1,285.0</w:t>
      </w:r>
    </w:p>
    <w:p>
      <w:pPr>
        <w:spacing w:after="0" w:line="31" w:lineRule="exact"/>
        <w:rPr>
          <w:rFonts w:ascii="Times New Roman" w:cs="Times New Roman" w:eastAsia="Times New Roman" w:hAnsi="Times New Roman"/>
          <w:sz w:val="18"/>
          <w:szCs w:val="18"/>
          <w:b w:val="1"/>
          <w:bCs w:val="1"/>
          <w:color w:val="auto"/>
        </w:rPr>
      </w:pPr>
    </w:p>
    <w:p>
      <w:pPr>
        <w:ind w:left="1226"/>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25.4</w:t>
      </w:r>
    </w:p>
    <w:p>
      <w:pPr>
        <w:spacing w:after="0" w:line="22" w:lineRule="exact"/>
        <w:rPr>
          <w:rFonts w:ascii="Times New Roman" w:cs="Times New Roman" w:eastAsia="Times New Roman" w:hAnsi="Times New Roman"/>
          <w:sz w:val="18"/>
          <w:szCs w:val="18"/>
          <w:b w:val="1"/>
          <w:bCs w:val="1"/>
          <w:color w:val="auto"/>
        </w:rPr>
      </w:pPr>
    </w:p>
    <w:p>
      <w:pPr>
        <w:ind w:left="1366"/>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.3</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369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7" w:lineRule="exact"/>
        <w:rPr>
          <w:sz w:val="20"/>
          <w:szCs w:val="20"/>
          <w:color w:val="auto"/>
        </w:rPr>
      </w:pPr>
    </w:p>
    <w:p>
      <w:pPr>
        <w:ind w:left="1006" w:hanging="1006"/>
        <w:spacing w:after="0"/>
        <w:tabs>
          <w:tab w:leader="none" w:pos="1006"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1,352.2</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1004" w:hanging="1004"/>
        <w:spacing w:after="0"/>
        <w:tabs>
          <w:tab w:leader="none" w:pos="100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1,008.4</w:t>
      </w:r>
    </w:p>
    <w:p>
      <w:pPr>
        <w:spacing w:after="0" w:line="27" w:lineRule="exact"/>
        <w:rPr>
          <w:rFonts w:ascii="Times New Roman" w:cs="Times New Roman" w:eastAsia="Times New Roman" w:hAnsi="Times New Roman"/>
          <w:sz w:val="18"/>
          <w:szCs w:val="18"/>
          <w:color w:val="auto"/>
        </w:rPr>
      </w:pPr>
    </w:p>
    <w:p>
      <w:pPr>
        <w:ind w:left="12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68.0</w:t>
      </w:r>
    </w:p>
    <w:p>
      <w:pPr>
        <w:spacing w:after="0" w:line="22" w:lineRule="exact"/>
        <w:rPr>
          <w:rFonts w:ascii="Times New Roman" w:cs="Times New Roman" w:eastAsia="Times New Roman" w:hAnsi="Times New Roman"/>
          <w:sz w:val="18"/>
          <w:szCs w:val="18"/>
          <w:color w:val="auto"/>
        </w:rPr>
      </w:pPr>
    </w:p>
    <w:p>
      <w:pPr>
        <w:ind w:left="13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right"/>
        <w:ind w:right="5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560"/>
        <w:spacing w:after="0"/>
        <w:rPr>
          <w:sz w:val="20"/>
          <w:szCs w:val="20"/>
          <w:color w:val="auto"/>
        </w:rPr>
      </w:pPr>
      <w:r>
        <w:rPr>
          <w:rFonts w:ascii="Times New Roman" w:cs="Times New Roman" w:eastAsia="Times New Roman" w:hAnsi="Times New Roman"/>
          <w:sz w:val="18"/>
          <w:szCs w:val="18"/>
          <w:color w:val="auto"/>
        </w:rPr>
        <w:t>44.0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369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11" w:lineRule="exact"/>
        <w:rPr>
          <w:sz w:val="20"/>
          <w:szCs w:val="20"/>
          <w:color w:val="auto"/>
        </w:rPr>
      </w:pPr>
    </w:p>
    <w:p>
      <w:pPr>
        <w:ind w:left="1004" w:hanging="1004"/>
        <w:spacing w:after="0"/>
        <w:tabs>
          <w:tab w:leader="none" w:pos="100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1,120.4</w:t>
      </w:r>
    </w:p>
    <w:p>
      <w:pPr>
        <w:spacing w:after="0" w:line="113" w:lineRule="exact"/>
        <w:rPr>
          <w:sz w:val="20"/>
          <w:szCs w:val="20"/>
          <w:color w:val="auto"/>
        </w:rPr>
      </w:pPr>
    </w:p>
    <w:p>
      <w:pPr>
        <w:sectPr>
          <w:pgSz w:w="11900" w:h="16838" w:orient="portrait"/>
          <w:cols w:equalWidth="0" w:num="3">
            <w:col w:w="6474" w:space="720"/>
            <w:col w:w="1546" w:space="196"/>
            <w:col w:w="2104"/>
          </w:cols>
          <w:pgMar w:left="320" w:top="891" w:right="539" w:bottom="1440" w:gutter="0" w:footer="0" w:header="0"/>
          <w:type w:val="continuous"/>
        </w:sectPr>
      </w:pPr>
    </w:p>
    <w:p>
      <w:pPr>
        <w:ind w:left="240" w:hanging="151"/>
        <w:spacing w:after="0"/>
        <w:tabs>
          <w:tab w:leader="none" w:pos="240" w:val="left"/>
        </w:tabs>
        <w:numPr>
          <w:ilvl w:val="0"/>
          <w:numId w:val="4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of December 31, 2025 and 2024, Kudu’s other long-term investments also include $6.4 and $5.6 related to a private debt instrument.</w:t>
      </w:r>
    </w:p>
    <w:p>
      <w:pPr>
        <w:ind w:left="240" w:hanging="151"/>
        <w:spacing w:after="0"/>
        <w:tabs>
          <w:tab w:leader="none" w:pos="240" w:val="left"/>
        </w:tabs>
        <w:numPr>
          <w:ilvl w:val="0"/>
          <w:numId w:val="4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contributions to new and existing Participation Contracts.</w:t>
      </w:r>
    </w:p>
    <w:p>
      <w:pPr>
        <w:spacing w:after="0" w:line="11" w:lineRule="exact"/>
        <w:rPr>
          <w:rFonts w:ascii="Times New Roman" w:cs="Times New Roman" w:eastAsia="Times New Roman" w:hAnsi="Times New Roman"/>
          <w:sz w:val="9"/>
          <w:szCs w:val="9"/>
          <w:color w:val="auto"/>
        </w:rPr>
      </w:pPr>
    </w:p>
    <w:p>
      <w:pPr>
        <w:ind w:left="240" w:hanging="151"/>
        <w:spacing w:after="0" w:line="181" w:lineRule="auto"/>
        <w:tabs>
          <w:tab w:leader="none" w:pos="240" w:val="left"/>
        </w:tabs>
        <w:numPr>
          <w:ilvl w:val="0"/>
          <w:numId w:val="4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net realized and unrealized investment gains (losses) recognized from Participation Contracts beginning in the quarter a contract is classified as pending sale.</w:t>
      </w:r>
    </w:p>
    <w:p>
      <w:pPr>
        <w:ind w:left="240" w:hanging="151"/>
        <w:spacing w:after="0" w:line="189" w:lineRule="auto"/>
        <w:tabs>
          <w:tab w:leader="none" w:pos="240" w:val="left"/>
        </w:tabs>
        <w:numPr>
          <w:ilvl w:val="0"/>
          <w:numId w:val="4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net unrealized investment gains (losses) recognized from (i) ongoing Participation Contracts and (ii) Participation Contracts prior to classification as pending sale.</w:t>
      </w:r>
    </w:p>
    <w:p>
      <w:pPr>
        <w:spacing w:after="0" w:line="3" w:lineRule="exact"/>
        <w:rPr>
          <w:rFonts w:ascii="Times New Roman" w:cs="Times New Roman" w:eastAsia="Times New Roman" w:hAnsi="Times New Roman"/>
          <w:sz w:val="19"/>
          <w:szCs w:val="19"/>
          <w:color w:val="auto"/>
          <w:vertAlign w:val="superscript"/>
        </w:rPr>
      </w:pPr>
    </w:p>
    <w:p>
      <w:pPr>
        <w:ind w:left="240" w:hanging="151"/>
        <w:spacing w:after="0" w:line="189" w:lineRule="auto"/>
        <w:tabs>
          <w:tab w:leader="none" w:pos="240" w:val="left"/>
        </w:tabs>
        <w:numPr>
          <w:ilvl w:val="0"/>
          <w:numId w:val="4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of March 31, 2026 and 2025, Kudu’s other long-term investments also include $6.6 and $5.8 related to a private debt instrument.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Kudu Results—Three Months Ended March 31, 2026 versus Three Months Ended March 31, 2025</w:t>
      </w:r>
    </w:p>
    <w:p>
      <w:pPr>
        <w:spacing w:after="0" w:line="2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Kudu reported total revenues of $63 million, pre-tax income of $52 million and adjusted EBITDA of $17 million in the first quarter of 2026 compared to total revenues of $64 million, pre-tax income of $53 million and adjusted EBITDA of $16 million in the first quarter of 2025</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Total revenues, pre-tax income and adjusted EBITDA included $21 million of net investment income in the first quarter of 2026 compared to $19 million in the first quarter of 2025. The increase in net investment income was driven primarily by amounts earned from new deployments that Kudu made subsequent to March 31, 2025, partially offset by a decline in revenue from certain Participation Contracts. Total revenues and pre-tax income also included $42 million of net realized and unrealized investment gains in the first quarter of 2026 compared to $44 million in the first quarter of 2025. Net realized and unrealized investment gains in both periods were driven by an increase in the fair value of Kudu’s Participation Contracts, primarily due to growth in assets under management at several managers and lower discount rates across the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91" w:right="5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HG Global</w:t>
      </w:r>
    </w:p>
    <w:p>
      <w:pPr>
        <w:spacing w:after="0" w:line="25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HG Global was established to fund the startup of BAM and, through its reinsurance subsidiary HG Re, to provide up to 15%-of-par, first-loss reinsurance protection for policies underwritten by BAM.</w:t>
      </w:r>
    </w:p>
    <w:p>
      <w:pPr>
        <w:ind w:right="160"/>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components of pre-tax income (loss) included in the HG Global segment for the three months ended March 31, 2026 and 2025:</w:t>
      </w:r>
    </w:p>
    <w:p>
      <w:pPr>
        <w:spacing w:after="0" w:line="99" w:lineRule="exact"/>
        <w:rPr>
          <w:sz w:val="20"/>
          <w:szCs w:val="20"/>
          <w:color w:val="auto"/>
        </w:rPr>
      </w:pPr>
    </w:p>
    <w:tbl>
      <w:tblPr>
        <w:tblLayout w:type="fixed"/>
        <w:tblInd w:w="620" w:type="dxa"/>
        <w:tblCellMar>
          <w:top w:w="0" w:type="dxa"/>
          <w:left w:w="0" w:type="dxa"/>
          <w:bottom w:w="0" w:type="dxa"/>
          <w:right w:w="0" w:type="dxa"/>
        </w:tblCellMar>
      </w:tblPr>
      <w:tr>
        <w:trPr>
          <w:trHeight w:val="209"/>
        </w:trPr>
        <w:tc>
          <w:tcPr>
            <w:tcW w:w="6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3300" w:type="dxa"/>
            <w:vAlign w:val="bottom"/>
            <w:tcBorders>
              <w:top w:val="single" w:sz="8" w:color="auto"/>
              <w:bottom w:val="single" w:sz="8" w:color="auto"/>
            </w:tcBorders>
            <w:gridSpan w:val="4"/>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40" w:type="dxa"/>
            <w:vAlign w:val="bottom"/>
          </w:tcPr>
          <w:p>
            <w:pPr>
              <w:spacing w:after="0"/>
              <w:rPr>
                <w:sz w:val="17"/>
                <w:szCs w:val="17"/>
                <w:color w:val="auto"/>
              </w:rPr>
            </w:pPr>
          </w:p>
        </w:tc>
        <w:tc>
          <w:tcPr>
            <w:tcW w:w="138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0"/>
        </w:trPr>
        <w:tc>
          <w:tcPr>
            <w:tcW w:w="6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 written premiums</w:t>
            </w:r>
          </w:p>
        </w:tc>
        <w:tc>
          <w:tcPr>
            <w:tcW w:w="80" w:type="dxa"/>
            <w:vAlign w:val="bottom"/>
          </w:tcPr>
          <w:p>
            <w:pPr>
              <w:spacing w:after="0"/>
              <w:rPr>
                <w:sz w:val="19"/>
                <w:szCs w:val="19"/>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Assumed written premiums</w:t>
            </w: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4"/>
        </w:trPr>
        <w:tc>
          <w:tcPr>
            <w:tcW w:w="6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Gross written premiums</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8"/>
        </w:trPr>
        <w:tc>
          <w:tcPr>
            <w:tcW w:w="6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Ceded written premiums</w:t>
            </w:r>
          </w:p>
        </w:tc>
        <w:tc>
          <w:tcPr>
            <w:tcW w:w="44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written premiums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55"/>
        </w:trPr>
        <w:tc>
          <w:tcPr>
            <w:tcW w:w="6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Earned insurance premiums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tcPr>
          <w:p>
            <w:pPr>
              <w:spacing w:after="0"/>
              <w:rPr>
                <w:sz w:val="22"/>
                <w:szCs w:val="22"/>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6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6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realized and unrealized investment gains (losses)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6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income from BAM Surplus Notes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8"/>
        </w:trPr>
        <w:tc>
          <w:tcPr>
            <w:tcW w:w="6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revenues</w:t>
            </w: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14"/>
        </w:trPr>
        <w:tc>
          <w:tcPr>
            <w:tcW w:w="6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Acquisition expenses</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6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8"/>
        </w:trPr>
        <w:tc>
          <w:tcPr>
            <w:tcW w:w="6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6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6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Pre-tax income (loss)</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0"/>
        </w:trPr>
        <w:tc>
          <w:tcPr>
            <w:tcW w:w="6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HG Global Results—Three Months Ended March 31, 2026 versus Three Months Ended March 31, 2025</w:t>
      </w:r>
    </w:p>
    <w:p>
      <w:pPr>
        <w:spacing w:after="0" w:line="6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HG Global reported gross written premiums of $8 million and earned premiums of $8 million in the first quarter of 2026 compared to gross written premiums of $7 million and earned premiums of $8 million in the first quarter of 2025. Earned premiums included $1 million recognized as a result of refundings in the first quarter of 2026 compared to $2 million in the first quarter of 2025. HG Global reported gross written premiums net of ceding commission paid of $6 million in the first quarter of 2026 compared to $5 million in the first quarter of 2025. HG Global’s total par value of policies assumed, which represents its first-loss exposure on policies assumed from BAM, was $518 million in the first quarter of 2026, of which $418 million was in the primary market and $99 million was in the secondary market. This compares to $427 million in the first quarter of 2025, of which $327 million was in the primary market and $100 million was in the secondary market. The increase in primary market par assumed was driven by higher issuance in the municipal primary market and a higher market share for BAM.</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HG Global’s total gross pricing was 160 basis points in the first quarter of 2026 compared to 157 basis points in the first quarter of 2025. Pricing in the primary market decreased to 98 basis points in the first quarter of 2026 compared to 116 basis points in the first quarter of 2025, due to a lower proportion of high-priced issuances insured by BAM in the first quarter of 2026. Pricing in the secondary market, which is more transaction specific than pricing in the primary market, increased to 423 basis points in the first quarter of 2026 compared to 289 basis points in the first quarter of 2025. Total pricing net of ceding commission paid increased to 112 basis points in the first quarter of 2026 compared to 110 basis points in the first quarter of 2025.</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The following table presents HG Global’s par value assumed, reinsurance premiums and pricing for the three months ended March 31, 2026 and 2025:</w:t>
      </w:r>
    </w:p>
    <w:p>
      <w:pPr>
        <w:spacing w:after="0" w:line="129" w:lineRule="exact"/>
        <w:rPr>
          <w:sz w:val="20"/>
          <w:szCs w:val="20"/>
          <w:color w:val="auto"/>
        </w:rPr>
      </w:pPr>
    </w:p>
    <w:tbl>
      <w:tblPr>
        <w:tblLayout w:type="fixed"/>
        <w:tblInd w:w="520" w:type="dxa"/>
        <w:tblCellMar>
          <w:top w:w="0" w:type="dxa"/>
          <w:left w:w="0" w:type="dxa"/>
          <w:bottom w:w="0" w:type="dxa"/>
          <w:right w:w="0" w:type="dxa"/>
        </w:tblCellMar>
      </w:tblPr>
      <w:tr>
        <w:trPr>
          <w:trHeight w:val="210"/>
        </w:trPr>
        <w:tc>
          <w:tcPr>
            <w:tcW w:w="6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3140" w:type="dxa"/>
            <w:vAlign w:val="bottom"/>
            <w:tcBorders>
              <w:top w:val="single" w:sz="8" w:color="auto"/>
              <w:bottom w:val="single" w:sz="8" w:color="auto"/>
            </w:tcBorders>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420" w:type="dxa"/>
            <w:vAlign w:val="bottom"/>
          </w:tcPr>
          <w:p>
            <w:pPr>
              <w:spacing w:after="0"/>
              <w:rPr>
                <w:sz w:val="17"/>
                <w:szCs w:val="17"/>
                <w:color w:val="auto"/>
              </w:rPr>
            </w:pPr>
          </w:p>
        </w:tc>
        <w:tc>
          <w:tcPr>
            <w:tcW w:w="13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4"/>
        </w:trPr>
        <w:tc>
          <w:tcPr>
            <w:tcW w:w="6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Par value assumed:</w:t>
            </w:r>
          </w:p>
        </w:tc>
        <w:tc>
          <w:tcPr>
            <w:tcW w:w="100" w:type="dxa"/>
            <w:vAlign w:val="bottom"/>
          </w:tcPr>
          <w:p>
            <w:pPr>
              <w:spacing w:after="0"/>
              <w:rPr>
                <w:sz w:val="19"/>
                <w:szCs w:val="19"/>
                <w:color w:val="auto"/>
              </w:rPr>
            </w:pPr>
          </w:p>
        </w:tc>
        <w:tc>
          <w:tcPr>
            <w:tcW w:w="42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418.4</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Par value of primary market policies assumed </w:t>
            </w:r>
            <w:r>
              <w:rPr>
                <w:rFonts w:ascii="Times New Roman" w:cs="Times New Roman" w:eastAsia="Times New Roman" w:hAnsi="Times New Roman"/>
                <w:sz w:val="9"/>
                <w:szCs w:val="9"/>
                <w:color w:val="auto"/>
              </w:rPr>
              <w:t>(1)</w:t>
            </w:r>
          </w:p>
        </w:tc>
        <w:tc>
          <w:tcPr>
            <w:tcW w:w="42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327.0</w:t>
            </w:r>
          </w:p>
        </w:tc>
        <w:tc>
          <w:tcPr>
            <w:tcW w:w="0" w:type="dxa"/>
            <w:vAlign w:val="bottom"/>
          </w:tcPr>
          <w:p>
            <w:pPr>
              <w:spacing w:after="0"/>
              <w:rPr>
                <w:sz w:val="1"/>
                <w:szCs w:val="1"/>
                <w:color w:val="auto"/>
              </w:rPr>
            </w:pPr>
          </w:p>
        </w:tc>
      </w:tr>
      <w:tr>
        <w:trPr>
          <w:trHeight w:val="238"/>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Par value of secondary market policies assumed </w:t>
            </w:r>
            <w:r>
              <w:rPr>
                <w:rFonts w:ascii="Times New Roman" w:cs="Times New Roman" w:eastAsia="Times New Roman" w:hAnsi="Times New Roman"/>
                <w:sz w:val="9"/>
                <w:szCs w:val="9"/>
                <w:color w:val="auto"/>
              </w:rPr>
              <w:t>(1)</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99.2</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23"/>
        </w:trPr>
        <w:tc>
          <w:tcPr>
            <w:tcW w:w="6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par value of policies assumed</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517.6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427.3</w:t>
            </w:r>
          </w:p>
        </w:tc>
        <w:tc>
          <w:tcPr>
            <w:tcW w:w="0" w:type="dxa"/>
            <w:vAlign w:val="bottom"/>
          </w:tcPr>
          <w:p>
            <w:pPr>
              <w:spacing w:after="0"/>
              <w:rPr>
                <w:sz w:val="1"/>
                <w:szCs w:val="1"/>
                <w:color w:val="auto"/>
              </w:rPr>
            </w:pPr>
          </w:p>
        </w:tc>
      </w:tr>
      <w:tr>
        <w:trPr>
          <w:trHeight w:val="21"/>
        </w:trPr>
        <w:tc>
          <w:tcPr>
            <w:tcW w:w="6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Reinsurance premiums:</w:t>
            </w: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6660" w:type="dxa"/>
            <w:vAlign w:val="bottom"/>
            <w:gridSpan w:val="2"/>
            <w:vMerge w:val="continue"/>
          </w:tcPr>
          <w:p>
            <w:pPr>
              <w:spacing w:after="0"/>
              <w:rPr>
                <w:sz w:val="21"/>
                <w:szCs w:val="21"/>
                <w:color w:val="auto"/>
              </w:rPr>
            </w:pPr>
          </w:p>
        </w:tc>
        <w:tc>
          <w:tcPr>
            <w:tcW w:w="4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written premiums from primary market</w:t>
            </w:r>
          </w:p>
        </w:tc>
        <w:tc>
          <w:tcPr>
            <w:tcW w:w="42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8"/>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written premiums from secondary market</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4.2</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4"/>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42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8.3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8"/>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Ceding commission paid</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gross written premiums net of ceding commission paid</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Earned premiums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9"/>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Pricing:</w:t>
            </w:r>
          </w:p>
        </w:tc>
        <w:tc>
          <w:tcPr>
            <w:tcW w:w="420" w:type="dxa"/>
            <w:vAlign w:val="bottom"/>
          </w:tcPr>
          <w:p>
            <w:pPr>
              <w:spacing w:after="0"/>
              <w:rPr>
                <w:sz w:val="24"/>
                <w:szCs w:val="24"/>
                <w:color w:val="auto"/>
              </w:rPr>
            </w:pPr>
          </w:p>
        </w:tc>
        <w:tc>
          <w:tcPr>
            <w:tcW w:w="1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98 bps</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pricing from primary market</w:t>
            </w:r>
          </w:p>
        </w:tc>
        <w:tc>
          <w:tcPr>
            <w:tcW w:w="42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bps</w:t>
            </w:r>
          </w:p>
        </w:tc>
        <w:tc>
          <w:tcPr>
            <w:tcW w:w="0" w:type="dxa"/>
            <w:vAlign w:val="bottom"/>
          </w:tcPr>
          <w:p>
            <w:pPr>
              <w:spacing w:after="0"/>
              <w:rPr>
                <w:sz w:val="1"/>
                <w:szCs w:val="1"/>
                <w:color w:val="auto"/>
              </w:rPr>
            </w:pPr>
          </w:p>
        </w:tc>
      </w:tr>
      <w:tr>
        <w:trPr>
          <w:trHeight w:val="229"/>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pricing from secondary market</w:t>
            </w:r>
          </w:p>
        </w:tc>
        <w:tc>
          <w:tcPr>
            <w:tcW w:w="4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423 bps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 bps</w:t>
            </w:r>
          </w:p>
        </w:tc>
        <w:tc>
          <w:tcPr>
            <w:tcW w:w="0" w:type="dxa"/>
            <w:vAlign w:val="bottom"/>
          </w:tcPr>
          <w:p>
            <w:pPr>
              <w:spacing w:after="0"/>
              <w:rPr>
                <w:sz w:val="1"/>
                <w:szCs w:val="1"/>
                <w:color w:val="auto"/>
              </w:rPr>
            </w:pPr>
          </w:p>
        </w:tc>
      </w:tr>
      <w:tr>
        <w:trPr>
          <w:trHeight w:val="238"/>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gross pricing</w:t>
            </w:r>
          </w:p>
        </w:tc>
        <w:tc>
          <w:tcPr>
            <w:tcW w:w="4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160 bps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bps</w:t>
            </w:r>
          </w:p>
        </w:tc>
        <w:tc>
          <w:tcPr>
            <w:tcW w:w="0" w:type="dxa"/>
            <w:vAlign w:val="bottom"/>
          </w:tcPr>
          <w:p>
            <w:pPr>
              <w:spacing w:after="0"/>
              <w:rPr>
                <w:sz w:val="1"/>
                <w:szCs w:val="1"/>
                <w:color w:val="auto"/>
              </w:rPr>
            </w:pPr>
          </w:p>
        </w:tc>
      </w:tr>
      <w:tr>
        <w:trPr>
          <w:trHeight w:val="283"/>
        </w:trPr>
        <w:tc>
          <w:tcPr>
            <w:tcW w:w="66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pricing net of ceding commission paid</w:t>
            </w: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112 bps</w:t>
            </w: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 bps</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560" w:hanging="147"/>
        <w:spacing w:after="0"/>
        <w:tabs>
          <w:tab w:leader="none" w:pos="560" w:val="left"/>
        </w:tabs>
        <w:numPr>
          <w:ilvl w:val="0"/>
          <w:numId w:val="5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capital appreciation bonds, par is adjusted to the estimated equivalent par value for current interest paying bonds.</w:t>
      </w:r>
    </w:p>
    <w:p>
      <w:pPr>
        <w:spacing w:after="0" w:line="2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HG Global reported pre-tax income of $11 million in the first quarter of 2026 compared to $25 million in the first quarter of 2025. HG Global’s results in the first quarter of 2026 included net realized and unrealized investment gains (losses) on its fixed income portfolio of $(5) million compared to $10 million in the first quarter of 2025, driven by movements in interest rates in each period. HG Global’s results in the first quarter of 2026 included interest income on the BAM Surplus Notes of $7 million compared to $8 million in the first quarter of 2025.</w:t>
      </w:r>
    </w:p>
    <w:p>
      <w:pPr>
        <w:spacing w:after="0" w:line="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fair value of the BAM Surplus Notes increased to $346 million as of March 31, 2026 compared to $339 million as of December 31, 2025, resulting from $7 million of accrued interest. During both the first quarter of 2026 and 2025, HG Global did not receive any payments of principal or interest on the BAM Surplus Notes.</w:t>
      </w:r>
    </w:p>
    <w:p>
      <w:pPr>
        <w:spacing w:after="0" w:line="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During the first quarter of 2026, HG Re received a distribution from the Supplemental Trust of $15 million, which consisted of an assignment of accrued interest on the BAM Surplus Notes of $7 million and a cash distribution of $8 million. During the first quarter of 2025, HG Re did not receive any distributions from the Supplemental Trust.</w:t>
      </w: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HG Global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amounts for the HG Global segment that are presented within White Mountains’s consolidated balance sheets as of March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57150</wp:posOffset>
            </wp:positionV>
            <wp:extent cx="58635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26" w:lineRule="exact"/>
        <w:rPr>
          <w:sz w:val="20"/>
          <w:szCs w:val="20"/>
          <w:color w:val="auto"/>
        </w:rPr>
      </w:pPr>
    </w:p>
    <w:tbl>
      <w:tblPr>
        <w:tblLayout w:type="fixed"/>
        <w:tblInd w:w="1000" w:type="dxa"/>
        <w:tblCellMar>
          <w:top w:w="0" w:type="dxa"/>
          <w:left w:w="0" w:type="dxa"/>
          <w:bottom w:w="0" w:type="dxa"/>
          <w:right w:w="0" w:type="dxa"/>
        </w:tblCellMar>
      </w:tblPr>
      <w:tr>
        <w:trPr>
          <w:trHeight w:val="190"/>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5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5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Fixed maturity investments, at fair value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705.2</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0" w:type="dxa"/>
            <w:vAlign w:val="bottom"/>
          </w:tcPr>
          <w:p>
            <w:pPr>
              <w:spacing w:after="0"/>
              <w:rPr>
                <w:sz w:val="1"/>
                <w:szCs w:val="1"/>
                <w:color w:val="auto"/>
              </w:rPr>
            </w:pPr>
          </w:p>
        </w:tc>
      </w:tr>
      <w:tr>
        <w:trPr>
          <w:trHeight w:val="270"/>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Short-term investments, at fair value</w:t>
            </w:r>
          </w:p>
        </w:tc>
        <w:tc>
          <w:tcPr>
            <w:tcW w:w="2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85.6</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50"/>
        </w:trPr>
        <w:tc>
          <w:tcPr>
            <w:tcW w:w="5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investments</w:t>
            </w:r>
          </w:p>
        </w:tc>
        <w:tc>
          <w:tcPr>
            <w:tcW w:w="22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790.8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0" w:type="dxa"/>
            <w:vAlign w:val="bottom"/>
          </w:tcPr>
          <w:p>
            <w:pPr>
              <w:spacing w:after="0"/>
              <w:rPr>
                <w:sz w:val="1"/>
                <w:szCs w:val="1"/>
                <w:color w:val="auto"/>
              </w:rPr>
            </w:pPr>
          </w:p>
        </w:tc>
      </w:tr>
      <w:tr>
        <w:trPr>
          <w:trHeight w:val="270"/>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0"/>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BAM Surplus Notes, at fair value </w:t>
            </w:r>
            <w:r>
              <w:rPr>
                <w:rFonts w:ascii="Times New Roman" w:cs="Times New Roman" w:eastAsia="Times New Roman" w:hAnsi="Times New Roman"/>
                <w:sz w:val="9"/>
                <w:szCs w:val="9"/>
                <w:color w:val="auto"/>
              </w:rPr>
              <w:t>(1)</w:t>
            </w:r>
          </w:p>
        </w:tc>
        <w:tc>
          <w:tcPr>
            <w:tcW w:w="22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345.9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0" w:type="dxa"/>
            <w:vAlign w:val="bottom"/>
          </w:tcPr>
          <w:p>
            <w:pPr>
              <w:spacing w:after="0"/>
              <w:rPr>
                <w:sz w:val="1"/>
                <w:szCs w:val="1"/>
                <w:color w:val="auto"/>
              </w:rPr>
            </w:pPr>
          </w:p>
        </w:tc>
      </w:tr>
      <w:tr>
        <w:trPr>
          <w:trHeight w:val="270"/>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Insurance premiums receivable</w:t>
            </w:r>
          </w:p>
        </w:tc>
        <w:tc>
          <w:tcPr>
            <w:tcW w:w="22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70"/>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22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97.3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70"/>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5.6</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5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1,247.6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0" w:type="dxa"/>
            <w:vAlign w:val="bottom"/>
          </w:tcPr>
          <w:p>
            <w:pPr>
              <w:spacing w:after="0"/>
              <w:rPr>
                <w:sz w:val="1"/>
                <w:szCs w:val="1"/>
                <w:color w:val="auto"/>
              </w:rPr>
            </w:pPr>
          </w:p>
        </w:tc>
      </w:tr>
      <w:tr>
        <w:trPr>
          <w:trHeight w:val="21"/>
        </w:trPr>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7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Preferred dividends payable to White Mountains </w:t>
            </w:r>
            <w:r>
              <w:rPr>
                <w:rFonts w:ascii="Times New Roman" w:cs="Times New Roman" w:eastAsia="Times New Roman" w:hAnsi="Times New Roman"/>
                <w:sz w:val="9"/>
                <w:szCs w:val="9"/>
                <w:color w:val="auto"/>
              </w:rPr>
              <w:t>(2)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544.1</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0" w:type="dxa"/>
            <w:vAlign w:val="bottom"/>
          </w:tcPr>
          <w:p>
            <w:pPr>
              <w:spacing w:after="0"/>
              <w:rPr>
                <w:sz w:val="1"/>
                <w:szCs w:val="1"/>
                <w:color w:val="auto"/>
              </w:rPr>
            </w:pPr>
          </w:p>
        </w:tc>
      </w:tr>
      <w:tr>
        <w:trPr>
          <w:trHeight w:val="270"/>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 dividends payable to noncontrolling interests</w:t>
            </w:r>
          </w:p>
        </w:tc>
        <w:tc>
          <w:tcPr>
            <w:tcW w:w="22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16.8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0"/>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Unearned insurance premiums</w:t>
            </w:r>
          </w:p>
        </w:tc>
        <w:tc>
          <w:tcPr>
            <w:tcW w:w="22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328.5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0" w:type="dxa"/>
            <w:vAlign w:val="bottom"/>
          </w:tcPr>
          <w:p>
            <w:pPr>
              <w:spacing w:after="0"/>
              <w:rPr>
                <w:sz w:val="1"/>
                <w:szCs w:val="1"/>
                <w:color w:val="auto"/>
              </w:rPr>
            </w:pPr>
          </w:p>
        </w:tc>
      </w:tr>
      <w:tr>
        <w:trPr>
          <w:trHeight w:val="270"/>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Debt</w:t>
            </w:r>
          </w:p>
        </w:tc>
        <w:tc>
          <w:tcPr>
            <w:tcW w:w="22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147.9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70"/>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incentive compensation</w:t>
            </w:r>
          </w:p>
        </w:tc>
        <w:tc>
          <w:tcPr>
            <w:tcW w:w="22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0"/>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Other liabilities </w:t>
            </w:r>
            <w:r>
              <w:rPr>
                <w:rFonts w:ascii="Times New Roman" w:cs="Times New Roman" w:eastAsia="Times New Roman" w:hAnsi="Times New Roman"/>
                <w:sz w:val="9"/>
                <w:szCs w:val="9"/>
                <w:color w:val="auto"/>
              </w:rPr>
              <w:t>(3)</w:t>
            </w:r>
          </w:p>
        </w:tc>
        <w:tc>
          <w:tcPr>
            <w:tcW w:w="2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5.9</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50"/>
        </w:trPr>
        <w:tc>
          <w:tcPr>
            <w:tcW w:w="5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1,044.1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0" w:type="dxa"/>
            <w:vAlign w:val="bottom"/>
          </w:tcPr>
          <w:p>
            <w:pPr>
              <w:spacing w:after="0"/>
              <w:rPr>
                <w:sz w:val="1"/>
                <w:szCs w:val="1"/>
                <w:color w:val="auto"/>
              </w:rPr>
            </w:pPr>
          </w:p>
        </w:tc>
      </w:tr>
      <w:tr>
        <w:trPr>
          <w:trHeight w:val="270"/>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White Mountains’s common shareholders’ equity</w:t>
            </w:r>
          </w:p>
        </w:tc>
        <w:tc>
          <w:tcPr>
            <w:tcW w:w="22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222.7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70"/>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50"/>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203.5</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1,247.6</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0" w:type="dxa"/>
            <w:vAlign w:val="bottom"/>
          </w:tcPr>
          <w:p>
            <w:pPr>
              <w:spacing w:after="0"/>
              <w:rPr>
                <w:sz w:val="1"/>
                <w:szCs w:val="1"/>
                <w:color w:val="auto"/>
              </w:rPr>
            </w:pP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HG Global total equity after intercompany eliminations: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White Mountains’s common shareholders’ equity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222.7</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70"/>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Preferred dividends payable to White Mountains elimination </w:t>
            </w:r>
            <w:r>
              <w:rPr>
                <w:rFonts w:ascii="Times New Roman" w:cs="Times New Roman" w:eastAsia="Times New Roman" w:hAnsi="Times New Roman"/>
                <w:sz w:val="9"/>
                <w:szCs w:val="9"/>
                <w:color w:val="auto"/>
              </w:rPr>
              <w:t>(2)</w:t>
            </w:r>
          </w:p>
        </w:tc>
        <w:tc>
          <w:tcPr>
            <w:tcW w:w="22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544.1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0" w:type="dxa"/>
            <w:vAlign w:val="bottom"/>
          </w:tcPr>
          <w:p>
            <w:pPr>
              <w:spacing w:after="0"/>
              <w:rPr>
                <w:sz w:val="1"/>
                <w:szCs w:val="1"/>
                <w:color w:val="auto"/>
              </w:rPr>
            </w:pPr>
          </w:p>
        </w:tc>
      </w:tr>
      <w:tr>
        <w:trPr>
          <w:trHeight w:val="256"/>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Intercompany payable elimination </w:t>
            </w:r>
            <w:r>
              <w:rPr>
                <w:rFonts w:ascii="Times New Roman" w:cs="Times New Roman" w:eastAsia="Times New Roman" w:hAnsi="Times New Roman"/>
                <w:sz w:val="9"/>
                <w:szCs w:val="9"/>
                <w:color w:val="auto"/>
              </w:rPr>
              <w:t>(3)</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57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HG Global total equity attributable to White Mountains’s common</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767.0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7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shareholders after intercompany eliminations</w:t>
            </w:r>
          </w:p>
        </w:tc>
        <w:tc>
          <w:tcPr>
            <w:tcW w:w="220" w:type="dxa"/>
            <w:vAlign w:val="bottom"/>
            <w:tcBorders>
              <w:bottom w:val="single" w:sz="8" w:color="auto"/>
            </w:tcBorders>
            <w:vMerge w:val="continue"/>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0" w:type="dxa"/>
            <w:vAlign w:val="bottom"/>
          </w:tcPr>
          <w:p>
            <w:pPr>
              <w:spacing w:after="0"/>
              <w:rPr>
                <w:sz w:val="1"/>
                <w:szCs w:val="1"/>
                <w:color w:val="auto"/>
              </w:rPr>
            </w:pP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140" w:hanging="132"/>
        <w:spacing w:after="0"/>
        <w:tabs>
          <w:tab w:leader="none" w:pos="140" w:val="left"/>
        </w:tabs>
        <w:numPr>
          <w:ilvl w:val="0"/>
          <w:numId w:val="5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fair value of the BAM Surplus Notes includes accrued interest receivable.</w:t>
      </w:r>
    </w:p>
    <w:p>
      <w:pPr>
        <w:ind w:left="140" w:hanging="132"/>
        <w:spacing w:after="0"/>
        <w:tabs>
          <w:tab w:leader="none" w:pos="140" w:val="left"/>
        </w:tabs>
        <w:numPr>
          <w:ilvl w:val="0"/>
          <w:numId w:val="5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HG Global’s preferred dividends payable to White Mountains are eliminated in White Mountains’s consolidated financial statements. For segment reporting, these amounts are included within</w:t>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the HG Global segment and are eliminated against the offsetting receivables included within Other Operations.</w:t>
      </w:r>
    </w:p>
    <w:p>
      <w:pPr>
        <w:spacing w:after="0" w:line="9" w:lineRule="exact"/>
        <w:rPr>
          <w:sz w:val="20"/>
          <w:szCs w:val="20"/>
          <w:color w:val="auto"/>
        </w:rPr>
      </w:pPr>
    </w:p>
    <w:p>
      <w:pPr>
        <w:ind w:left="180" w:right="400" w:hanging="172"/>
        <w:spacing w:after="0" w:line="232" w:lineRule="auto"/>
        <w:tabs>
          <w:tab w:leader="none" w:pos="150" w:val="left"/>
        </w:tabs>
        <w:numPr>
          <w:ilvl w:val="0"/>
          <w:numId w:val="5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Amount as of March 31, 2026 includes $0.2 for an intercompany payable that is eliminated in White Mountains’s consolidated financial statements. For segment reporting, HG Global’s intercompany payable included within the HG Global segment is eliminated against the offsetting intercompany receivable included within Other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Distinguished</w:t>
      </w:r>
    </w:p>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On September 2, 2025, White Mountains acquired a controlling financial interest in Distinguished. See </w:t>
      </w:r>
      <w:r>
        <w:rPr>
          <w:rFonts w:ascii="Times New Roman" w:cs="Times New Roman" w:eastAsia="Times New Roman" w:hAnsi="Times New Roman"/>
          <w:sz w:val="18"/>
          <w:szCs w:val="18"/>
          <w:b w:val="1"/>
          <w:bCs w:val="1"/>
          <w:color w:val="auto"/>
        </w:rPr>
        <w:t>Note 2 — “Significant Transactions”</w:t>
      </w:r>
      <w:r>
        <w:rPr>
          <w:rFonts w:ascii="Times New Roman" w:cs="Times New Roman" w:eastAsia="Times New Roman" w:hAnsi="Times New Roman"/>
          <w:sz w:val="18"/>
          <w:szCs w:val="18"/>
          <w:color w:val="auto"/>
        </w:rPr>
        <w:t xml:space="preserve"> on page 10. Distinguished is a full-service MGA and program administrator for specialty property and casualty insurance. Distinguished places insurance across a diversified portfolio of programs broadly grouped into two verticals. The ScaleCo vertical consists of established programs, primarily focused on real estate and hospitality end markets. The GrowthCo vertical consists of start-up programs, focused on a diversified set of specialty property and casualty insurance products across multiple industries. On behalf of its insurance carrier partners, Distinguished manages various aspects of the placement process, including product development, marketing, underwriting and policy issuance. Distinguished earns commissions based on the volume and profitability of the insurance that it places. Distinguished does not retain insurance risk.</w:t>
      </w:r>
    </w:p>
    <w:p>
      <w:pPr>
        <w:spacing w:after="0" w:line="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components of GAAP net income (loss), ScaleCo net income (loss), ScaleCo EBITDA and ScaleCo adjusted EBITDA included in White Mountains’s Distinguished segment for the three months ended March 31, 2026:</w:t>
      </w:r>
    </w:p>
    <w:tbl>
      <w:tblPr>
        <w:tblLayout w:type="fixed"/>
        <w:tblInd w:w="2460" w:type="dxa"/>
        <w:tblCellMar>
          <w:top w:w="0" w:type="dxa"/>
          <w:left w:w="0" w:type="dxa"/>
          <w:bottom w:w="0" w:type="dxa"/>
          <w:right w:w="0" w:type="dxa"/>
        </w:tblCellMar>
      </w:tblPr>
      <w:tr>
        <w:trPr>
          <w:trHeight w:val="141"/>
        </w:trPr>
        <w:tc>
          <w:tcPr>
            <w:tcW w:w="45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20" w:type="dxa"/>
            <w:vAlign w:val="bottom"/>
            <w:tcBorders>
              <w:top w:val="single" w:sz="8" w:color="auto"/>
            </w:tcBorders>
            <w:gridSpan w:val="2"/>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0" w:type="dxa"/>
            <w:vAlign w:val="bottom"/>
          </w:tcPr>
          <w:p>
            <w:pPr>
              <w:spacing w:after="0"/>
              <w:rPr>
                <w:sz w:val="1"/>
                <w:szCs w:val="1"/>
                <w:color w:val="auto"/>
              </w:rPr>
            </w:pPr>
          </w:p>
        </w:tc>
      </w:tr>
      <w:tr>
        <w:trPr>
          <w:trHeight w:val="195"/>
        </w:trPr>
        <w:tc>
          <w:tcPr>
            <w:tcW w:w="45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31, 2026</w:t>
            </w:r>
          </w:p>
        </w:tc>
        <w:tc>
          <w:tcPr>
            <w:tcW w:w="0" w:type="dxa"/>
            <w:vAlign w:val="bottom"/>
          </w:tcPr>
          <w:p>
            <w:pPr>
              <w:spacing w:after="0"/>
              <w:rPr>
                <w:sz w:val="1"/>
                <w:szCs w:val="1"/>
                <w:color w:val="auto"/>
              </w:rPr>
            </w:pPr>
          </w:p>
        </w:tc>
      </w:tr>
      <w:tr>
        <w:trPr>
          <w:trHeight w:val="219"/>
        </w:trPr>
        <w:tc>
          <w:tcPr>
            <w:tcW w:w="4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Commission and fee revenues</w:t>
            </w:r>
          </w:p>
        </w:tc>
        <w:tc>
          <w:tcPr>
            <w:tcW w:w="120" w:type="dxa"/>
            <w:vAlign w:val="bottom"/>
          </w:tcPr>
          <w:p>
            <w:pPr>
              <w:spacing w:after="0"/>
              <w:rPr>
                <w:sz w:val="19"/>
                <w:szCs w:val="19"/>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w:t>
            </w:r>
          </w:p>
        </w:tc>
        <w:tc>
          <w:tcPr>
            <w:tcW w:w="0" w:type="dxa"/>
            <w:vAlign w:val="bottom"/>
          </w:tcPr>
          <w:p>
            <w:pPr>
              <w:spacing w:after="0"/>
              <w:rPr>
                <w:sz w:val="1"/>
                <w:szCs w:val="1"/>
                <w:color w:val="auto"/>
              </w:rPr>
            </w:pPr>
          </w:p>
        </w:tc>
      </w:tr>
      <w:tr>
        <w:trPr>
          <w:trHeight w:val="23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23"/>
        </w:trPr>
        <w:tc>
          <w:tcPr>
            <w:tcW w:w="4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c>
          <w:tcPr>
            <w:tcW w:w="0" w:type="dxa"/>
            <w:vAlign w:val="bottom"/>
          </w:tcPr>
          <w:p>
            <w:pPr>
              <w:spacing w:after="0"/>
              <w:rPr>
                <w:sz w:val="1"/>
                <w:szCs w:val="1"/>
                <w:color w:val="auto"/>
              </w:rPr>
            </w:pPr>
          </w:p>
        </w:tc>
      </w:tr>
      <w:tr>
        <w:trPr>
          <w:trHeight w:val="214"/>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Broker commission expenses</w:t>
            </w: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w:t>
            </w:r>
          </w:p>
        </w:tc>
        <w:tc>
          <w:tcPr>
            <w:tcW w:w="0" w:type="dxa"/>
            <w:vAlign w:val="bottom"/>
          </w:tcPr>
          <w:p>
            <w:pPr>
              <w:spacing w:after="0"/>
              <w:rPr>
                <w:sz w:val="1"/>
                <w:szCs w:val="1"/>
                <w:color w:val="auto"/>
              </w:rPr>
            </w:pPr>
          </w:p>
        </w:tc>
      </w:tr>
      <w:tr>
        <w:trPr>
          <w:trHeight w:val="23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0" w:type="dxa"/>
            <w:vAlign w:val="bottom"/>
          </w:tcPr>
          <w:p>
            <w:pPr>
              <w:spacing w:after="0"/>
              <w:rPr>
                <w:sz w:val="1"/>
                <w:szCs w:val="1"/>
                <w:color w:val="auto"/>
              </w:rPr>
            </w:pPr>
          </w:p>
        </w:tc>
      </w:tr>
      <w:tr>
        <w:trPr>
          <w:trHeight w:val="223"/>
        </w:trPr>
        <w:tc>
          <w:tcPr>
            <w:tcW w:w="4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expenses</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c>
          <w:tcPr>
            <w:tcW w:w="0" w:type="dxa"/>
            <w:vAlign w:val="bottom"/>
          </w:tcPr>
          <w:p>
            <w:pPr>
              <w:spacing w:after="0"/>
              <w:rPr>
                <w:sz w:val="1"/>
                <w:szCs w:val="1"/>
                <w:color w:val="auto"/>
              </w:rPr>
            </w:pPr>
          </w:p>
        </w:tc>
      </w:tr>
      <w:tr>
        <w:trPr>
          <w:trHeight w:val="214"/>
        </w:trPr>
        <w:tc>
          <w:tcPr>
            <w:tcW w:w="4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GAAP pre-tax income (loss)</w:t>
            </w: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0" w:type="dxa"/>
            <w:vAlign w:val="bottom"/>
          </w:tcPr>
          <w:p>
            <w:pPr>
              <w:spacing w:after="0"/>
              <w:rPr>
                <w:sz w:val="1"/>
                <w:szCs w:val="1"/>
                <w:color w:val="auto"/>
              </w:rPr>
            </w:pPr>
          </w:p>
        </w:tc>
      </w:tr>
      <w:tr>
        <w:trPr>
          <w:trHeight w:val="23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218"/>
        </w:trPr>
        <w:tc>
          <w:tcPr>
            <w:tcW w:w="4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GAAP net income (loss)</w:t>
            </w: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Exclude:</w:t>
            </w:r>
          </w:p>
        </w:tc>
        <w:tc>
          <w:tcPr>
            <w:tcW w:w="380" w:type="dxa"/>
            <w:vAlign w:val="bottom"/>
          </w:tcPr>
          <w:p>
            <w:pPr>
              <w:spacing w:after="0"/>
              <w:rPr>
                <w:sz w:val="19"/>
                <w:szCs w:val="19"/>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0" w:type="dxa"/>
            <w:vAlign w:val="bottom"/>
          </w:tcPr>
          <w:p>
            <w:pPr>
              <w:spacing w:after="0"/>
              <w:rPr>
                <w:sz w:val="1"/>
                <w:szCs w:val="1"/>
                <w:color w:val="auto"/>
              </w:rPr>
            </w:pPr>
          </w:p>
        </w:tc>
      </w:tr>
      <w:tr>
        <w:trPr>
          <w:trHeight w:val="234"/>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GrowthCo</w:t>
            </w: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ScaleCo net income (loss) </w:t>
            </w:r>
            <w:r>
              <w:rPr>
                <w:rFonts w:ascii="Times New Roman" w:cs="Times New Roman" w:eastAsia="Times New Roman" w:hAnsi="Times New Roman"/>
                <w:sz w:val="9"/>
                <w:szCs w:val="9"/>
                <w:color w:val="auto"/>
              </w:rPr>
              <w:t>(1)</w:t>
            </w: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380" w:type="dxa"/>
            <w:vAlign w:val="bottom"/>
          </w:tcPr>
          <w:p>
            <w:pPr>
              <w:spacing w:after="0"/>
              <w:rPr>
                <w:sz w:val="19"/>
                <w:szCs w:val="19"/>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0" w:type="dxa"/>
            <w:vAlign w:val="bottom"/>
          </w:tcPr>
          <w:p>
            <w:pPr>
              <w:spacing w:after="0"/>
              <w:rPr>
                <w:sz w:val="1"/>
                <w:szCs w:val="1"/>
                <w:color w:val="auto"/>
              </w:rPr>
            </w:pPr>
          </w:p>
        </w:tc>
      </w:tr>
      <w:tr>
        <w:trPr>
          <w:trHeight w:val="225"/>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22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3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other intangible assets</w:t>
            </w: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0" w:type="dxa"/>
            <w:vAlign w:val="bottom"/>
          </w:tcPr>
          <w:p>
            <w:pPr>
              <w:spacing w:after="0"/>
              <w:rPr>
                <w:sz w:val="1"/>
                <w:szCs w:val="1"/>
                <w:color w:val="auto"/>
              </w:rPr>
            </w:pPr>
          </w:p>
        </w:tc>
      </w:tr>
      <w:tr>
        <w:trPr>
          <w:trHeight w:val="218"/>
        </w:trPr>
        <w:tc>
          <w:tcPr>
            <w:tcW w:w="4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ScaleCo EBITDA </w:t>
            </w:r>
            <w:r>
              <w:rPr>
                <w:rFonts w:ascii="Times New Roman" w:cs="Times New Roman" w:eastAsia="Times New Roman" w:hAnsi="Times New Roman"/>
                <w:sz w:val="9"/>
                <w:szCs w:val="9"/>
                <w:color w:val="auto"/>
              </w:rPr>
              <w:t>(1)</w:t>
            </w: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Exclude:</w:t>
            </w:r>
          </w:p>
        </w:tc>
        <w:tc>
          <w:tcPr>
            <w:tcW w:w="380" w:type="dxa"/>
            <w:vAlign w:val="bottom"/>
          </w:tcPr>
          <w:p>
            <w:pPr>
              <w:spacing w:after="0"/>
              <w:rPr>
                <w:sz w:val="19"/>
                <w:szCs w:val="19"/>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rPr>
                <w:sz w:val="1"/>
                <w:szCs w:val="1"/>
                <w:color w:val="auto"/>
              </w:rPr>
            </w:pPr>
          </w:p>
        </w:tc>
      </w:tr>
      <w:tr>
        <w:trPr>
          <w:trHeight w:val="225"/>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38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ScaleCo adjusted EBITDA </w:t>
            </w:r>
            <w:r>
              <w:rPr>
                <w:rFonts w:ascii="Times New Roman" w:cs="Times New Roman" w:eastAsia="Times New Roman" w:hAnsi="Times New Roman"/>
                <w:sz w:val="9"/>
                <w:szCs w:val="9"/>
                <w:color w:val="auto"/>
              </w:rPr>
              <w:t>(1)</w:t>
            </w: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0" w:type="dxa"/>
            <w:vAlign w:val="bottom"/>
          </w:tcPr>
          <w:p>
            <w:pPr>
              <w:spacing w:after="0"/>
              <w:rPr>
                <w:sz w:val="1"/>
                <w:szCs w:val="1"/>
                <w:color w:val="auto"/>
              </w:rPr>
            </w:pPr>
          </w:p>
        </w:tc>
      </w:tr>
      <w:tr>
        <w:trPr>
          <w:trHeight w:val="21"/>
        </w:trPr>
        <w:tc>
          <w:tcPr>
            <w:tcW w:w="4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See </w:t>
      </w:r>
      <w:r>
        <w:rPr>
          <w:rFonts w:ascii="Times New Roman" w:cs="Times New Roman" w:eastAsia="Times New Roman" w:hAnsi="Times New Roman"/>
          <w:sz w:val="14"/>
          <w:szCs w:val="14"/>
          <w:b w:val="1"/>
          <w:bCs w:val="1"/>
          <w:color w:val="auto"/>
        </w:rPr>
        <w:t>“NON-GAAP FINANCIAL MEASURES”</w:t>
      </w:r>
      <w:r>
        <w:rPr>
          <w:rFonts w:ascii="Times New Roman" w:cs="Times New Roman" w:eastAsia="Times New Roman" w:hAnsi="Times New Roman"/>
          <w:sz w:val="14"/>
          <w:szCs w:val="14"/>
          <w:color w:val="auto"/>
        </w:rPr>
        <w:t xml:space="preserve"> on page 70.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Distinguished Results – Three Months Ended March 31, 2026</w:t>
      </w:r>
    </w:p>
    <w:p>
      <w:pPr>
        <w:spacing w:after="0" w:line="3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Distinguished reported commission and fee revenues of $40 million, pre-tax loss of $18 million, and ScaleCo adjusted EBITDA of $4 million for the first quarter of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Managed Premiums and Commission and Fee Revenues</w:t>
      </w:r>
    </w:p>
    <w:p>
      <w:pPr>
        <w:spacing w:after="0" w:line="29"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managed premiums, which represent the total premiums placed by Distinguished, and commission and fee revenues by vertical for the first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75565</wp:posOffset>
            </wp:positionV>
            <wp:extent cx="47745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114" w:lineRule="exact"/>
        <w:rPr>
          <w:sz w:val="20"/>
          <w:szCs w:val="20"/>
          <w:color w:val="auto"/>
        </w:rPr>
      </w:pPr>
    </w:p>
    <w:tbl>
      <w:tblPr>
        <w:tblLayout w:type="fixed"/>
        <w:tblInd w:w="1880" w:type="dxa"/>
        <w:tblCellMar>
          <w:top w:w="0" w:type="dxa"/>
          <w:left w:w="0" w:type="dxa"/>
          <w:bottom w:w="0" w:type="dxa"/>
          <w:right w:w="0" w:type="dxa"/>
        </w:tblCellMar>
      </w:tblPr>
      <w:tr>
        <w:trPr>
          <w:trHeight w:val="190"/>
        </w:trPr>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6"/>
                <w:szCs w:val="16"/>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Managed Premiums</w:t>
            </w:r>
          </w:p>
        </w:tc>
        <w:tc>
          <w:tcPr>
            <w:tcW w:w="220" w:type="dxa"/>
            <w:vAlign w:val="bottom"/>
          </w:tcPr>
          <w:p>
            <w:pPr>
              <w:spacing w:after="0"/>
              <w:rPr>
                <w:sz w:val="16"/>
                <w:szCs w:val="16"/>
                <w:color w:val="auto"/>
              </w:rPr>
            </w:pPr>
          </w:p>
        </w:tc>
        <w:tc>
          <w:tcPr>
            <w:tcW w:w="24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Commission and Fee Revenues</w:t>
            </w:r>
          </w:p>
        </w:tc>
        <w:tc>
          <w:tcPr>
            <w:tcW w:w="0" w:type="dxa"/>
            <w:vAlign w:val="bottom"/>
          </w:tcPr>
          <w:p>
            <w:pPr>
              <w:spacing w:after="0"/>
              <w:rPr>
                <w:sz w:val="1"/>
                <w:szCs w:val="1"/>
                <w:color w:val="auto"/>
              </w:rPr>
            </w:pPr>
          </w:p>
        </w:tc>
      </w:tr>
      <w:tr>
        <w:trPr>
          <w:trHeight w:val="23"/>
        </w:trPr>
        <w:tc>
          <w:tcPr>
            <w:tcW w:w="2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ScaleCo</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106.5</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0" w:type="dxa"/>
            <w:vAlign w:val="bottom"/>
          </w:tcPr>
          <w:p>
            <w:pPr>
              <w:spacing w:after="0"/>
              <w:rPr>
                <w:sz w:val="1"/>
                <w:szCs w:val="1"/>
                <w:color w:val="auto"/>
              </w:rPr>
            </w:pPr>
          </w:p>
        </w:tc>
      </w:tr>
      <w:tr>
        <w:trPr>
          <w:trHeight w:val="248"/>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GrowthCo</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0" w:type="dxa"/>
            <w:vAlign w:val="bottom"/>
          </w:tcPr>
          <w:p>
            <w:pPr>
              <w:spacing w:after="0"/>
              <w:rPr>
                <w:sz w:val="1"/>
                <w:szCs w:val="1"/>
                <w:color w:val="auto"/>
              </w:rPr>
            </w:pPr>
          </w:p>
        </w:tc>
      </w:tr>
      <w:tr>
        <w:trPr>
          <w:trHeight w:val="27"/>
        </w:trPr>
        <w:tc>
          <w:tcPr>
            <w:tcW w:w="2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900" w:type="dxa"/>
            <w:vAlign w:val="bottom"/>
            <w:tcBorders>
              <w:bottom w:val="single" w:sz="8" w:color="auto"/>
            </w:tcBorders>
            <w:gridSpan w:val="2"/>
            <w:vMerge w:val="continue"/>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131.6</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w:t>
            </w:r>
          </w:p>
        </w:tc>
        <w:tc>
          <w:tcPr>
            <w:tcW w:w="0" w:type="dxa"/>
            <w:vAlign w:val="bottom"/>
          </w:tcPr>
          <w:p>
            <w:pPr>
              <w:spacing w:after="0"/>
              <w:rPr>
                <w:sz w:val="1"/>
                <w:szCs w:val="1"/>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64" w:name="page65"/>
    <w:bookmarkEnd w:id="64"/>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Distinguished’s managed premiums increased by 7% in the first quarter of 2026 compared to the first quarter of 2025. As of March 31, 2026, on a trailing 12 months basis, Distinguished reported total managed premiums of $576 million, which increased 1% quarter-over-quarter. These include periods prior to White Mountains’s ownership of Distinguished, which White Mountains believes is useful in understanding Distinguished’s performance.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Operations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pre-tax income (loss) included in White Mountains’s Other Operations for the three months ended March 31, 2026 and 2025:</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Pr>
          <w:p>
            <w:pPr>
              <w:spacing w:after="0"/>
              <w:rPr>
                <w:sz w:val="17"/>
                <w:szCs w:val="17"/>
                <w:color w:val="auto"/>
              </w:rPr>
            </w:pPr>
          </w:p>
        </w:tc>
        <w:tc>
          <w:tcPr>
            <w:tcW w:w="11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0"/>
        </w:trPr>
        <w:tc>
          <w:tcPr>
            <w:tcW w:w="8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Earned insurance premiums</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9"/>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realized and unrealized investment gains (losses)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realized and unrealized investment gains (losses) from investment in MediaAlpha</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29"/>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Commission and fee revenues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gain on sale of the Bamboo Group</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56.4</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3"/>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4"/>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and LAE</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0"/>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 expenses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38"/>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23"/>
        </w:trPr>
        <w:tc>
          <w:tcPr>
            <w:tcW w:w="83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Pre-tax income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(79.6)</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Operations Results—Three Months Ended March 31, 2026 versus Three Months Ended March 31, 2025</w:t>
      </w:r>
    </w:p>
    <w:p>
      <w:pPr>
        <w:spacing w:after="0" w:line="3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White Mountains’s Other Operations reported pre-tax loss of $80 million in the first quarter of 2026 compared to $59 million in the first quarter of 2025. White Mountains’s Other Operations reported unrealized investment losses from its investment in MediaAlpha of $65 million in the first quarter of 2026 compared to $37 million in the first quarter of 2025. Excluding MediaAlpha, White Mountains’s Other Operations reported net realized and unrealized investment gains of $7 million in the first quarter of 2026 compared to $3 million in the first quarter of 2025. White Mountains’s Other Operations reported net investment income of $14 million in the first quarter of 2026 compared to $10 million in the first quarter of 2025. See </w:t>
      </w:r>
      <w:r>
        <w:rPr>
          <w:rFonts w:ascii="Times New Roman" w:cs="Times New Roman" w:eastAsia="Times New Roman" w:hAnsi="Times New Roman"/>
          <w:sz w:val="18"/>
          <w:szCs w:val="18"/>
          <w:b w:val="1"/>
          <w:bCs w:val="1"/>
          <w:color w:val="auto"/>
        </w:rPr>
        <w:t>Summary of 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Results </w:t>
      </w:r>
      <w:r>
        <w:rPr>
          <w:rFonts w:ascii="Times New Roman" w:cs="Times New Roman" w:eastAsia="Times New Roman" w:hAnsi="Times New Roman"/>
          <w:sz w:val="18"/>
          <w:szCs w:val="18"/>
          <w:color w:val="auto"/>
        </w:rPr>
        <w:t>on page 64.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Mountains’s Other Operations reported other revenues of $56 million in the first quarter of 2026 compared to $14 million in the first quarter of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Mountains’s Other Operations reported cost of sales of $43 million in the first quarter of 2026 compared to $8 million in the first quarter of 2025.</w:t>
      </w:r>
    </w:p>
    <w:p>
      <w:pPr>
        <w:spacing w:after="0" w:line="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increases in other revenues and cost of sales were driven primarily by the consolidation of Enterprise Solutions in the second quarter of 2025. White Mountains’s Other Operations reported general and administrative expenses of $55 million in the first quarter of 2026 compared to $36 million in the first quarter of 2025. The increase in general and administrative expenses was driven primarily by higher incentive compensation costs, mainly due to an increase in White Mountains’s share price, as well as the consolidation of Enterprise Solutions. Other Operations general and administrative expenses in the first quarter of 2026 included $27 million for parent company compensation and benefits compared to $15 million in the first quarter of 2025.</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II. Summary of Investment Results</w:t>
      </w:r>
    </w:p>
    <w:p>
      <w:pPr>
        <w:spacing w:after="0" w:line="21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White Mountains’s total investment results include results from all segments. For purposes of discussing rates of return, percentages are presented gross of management fees and trading expenses.</w:t>
      </w:r>
    </w:p>
    <w:p>
      <w:pPr>
        <w:spacing w:after="0" w:line="1" w:lineRule="exact"/>
        <w:rPr>
          <w:sz w:val="20"/>
          <w:szCs w:val="20"/>
          <w:color w:val="auto"/>
        </w:rPr>
      </w:pPr>
    </w:p>
    <w:p>
      <w:pPr>
        <w:ind w:right="320"/>
        <w:spacing w:after="0" w:line="243" w:lineRule="auto"/>
        <w:rPr>
          <w:sz w:val="20"/>
          <w:szCs w:val="20"/>
          <w:color w:val="auto"/>
        </w:rPr>
      </w:pPr>
      <w:r>
        <w:rPr>
          <w:rFonts w:ascii="Times New Roman" w:cs="Times New Roman" w:eastAsia="Times New Roman" w:hAnsi="Times New Roman"/>
          <w:sz w:val="18"/>
          <w:szCs w:val="18"/>
          <w:color w:val="auto"/>
        </w:rPr>
        <w:t xml:space="preserve">Effective December 5, 2025, White Mountains no longer consolidates Bamboo. Through December 5, 2025, White Mountains’s consolidated financial statements included Bamboo’s investment results. See </w:t>
      </w:r>
      <w:r>
        <w:rPr>
          <w:rFonts w:ascii="Times New Roman" w:cs="Times New Roman" w:eastAsia="Times New Roman" w:hAnsi="Times New Roman"/>
          <w:sz w:val="18"/>
          <w:szCs w:val="18"/>
          <w:b w:val="1"/>
          <w:bCs w:val="1"/>
          <w:color w:val="auto"/>
        </w:rPr>
        <w:t>Note 2 — “Significant Transactions.”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Investment Returns and Benchmark Returns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pre-tax time-weighted investment returns for White Mountains’s consolidated portfolio, for the three months ended March 31, 2026 and 2025:</w:t>
      </w:r>
    </w:p>
    <w:p>
      <w:pPr>
        <w:spacing w:after="0" w:line="72" w:lineRule="exact"/>
        <w:rPr>
          <w:sz w:val="20"/>
          <w:szCs w:val="20"/>
          <w:color w:val="auto"/>
        </w:rPr>
      </w:pPr>
    </w:p>
    <w:tbl>
      <w:tblPr>
        <w:tblLayout w:type="fixed"/>
        <w:tblInd w:w="1280" w:type="dxa"/>
        <w:tblCellMar>
          <w:top w:w="0" w:type="dxa"/>
          <w:left w:w="0" w:type="dxa"/>
          <w:bottom w:w="0" w:type="dxa"/>
          <w:right w:w="0" w:type="dxa"/>
        </w:tblCellMar>
      </w:tblPr>
      <w:tr>
        <w:trPr>
          <w:trHeight w:val="210"/>
        </w:trPr>
        <w:tc>
          <w:tcPr>
            <w:tcW w:w="5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920" w:type="dxa"/>
            <w:vAlign w:val="bottom"/>
            <w:tcBorders>
              <w:top w:val="single" w:sz="8" w:color="auto"/>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5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04"/>
        </w:trPr>
        <w:tc>
          <w:tcPr>
            <w:tcW w:w="5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Fixed income investments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0.5 %</w:t>
            </w: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Bloomberg Intermediate U.S. Aggregate Index</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0.1 %</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2.6 %</w:t>
            </w:r>
          </w:p>
        </w:tc>
        <w:tc>
          <w:tcPr>
            <w:tcW w:w="0" w:type="dxa"/>
            <w:vAlign w:val="bottom"/>
          </w:tcPr>
          <w:p>
            <w:pPr>
              <w:spacing w:after="0"/>
              <w:rPr>
                <w:sz w:val="1"/>
                <w:szCs w:val="1"/>
                <w:color w:val="auto"/>
              </w:rPr>
            </w:pPr>
          </w:p>
        </w:tc>
      </w:tr>
      <w:tr>
        <w:trPr>
          <w:trHeight w:val="270"/>
        </w:trPr>
        <w:tc>
          <w:tcPr>
            <w:tcW w:w="5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equity securities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Investment in MediaAlpha</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long-term investments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2.6 %</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168"/>
        </w:trPr>
        <w:tc>
          <w:tcPr>
            <w:tcW w:w="5780" w:type="dxa"/>
            <w:vAlign w:val="bottom"/>
            <w:gridSpan w:val="2"/>
          </w:tcPr>
          <w:p>
            <w:pPr>
              <w:ind w:left="220"/>
              <w:spacing w:after="0" w:line="168" w:lineRule="exact"/>
              <w:rPr>
                <w:sz w:val="20"/>
                <w:szCs w:val="20"/>
                <w:color w:val="auto"/>
              </w:rPr>
            </w:pPr>
            <w:r>
              <w:rPr>
                <w:rFonts w:ascii="Times New Roman" w:cs="Times New Roman" w:eastAsia="Times New Roman" w:hAnsi="Times New Roman"/>
                <w:sz w:val="16"/>
                <w:szCs w:val="16"/>
                <w:color w:val="auto"/>
              </w:rPr>
              <w:t>Total common equity securities, investment in MediaAlpha and other</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(0.3)%</w:t>
            </w:r>
          </w:p>
        </w:tc>
        <w:tc>
          <w:tcPr>
            <w:tcW w:w="1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10"/>
        </w:trPr>
        <w:tc>
          <w:tcPr>
            <w:tcW w:w="57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long-term investments</w:t>
            </w:r>
          </w:p>
        </w:tc>
        <w:tc>
          <w:tcPr>
            <w:tcW w:w="1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common equity securities and other long-term investments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1.6 %</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S&amp;P 500 Index (total return)</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(4.3) %</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(4.3)%</w:t>
            </w:r>
          </w:p>
        </w:tc>
        <w:tc>
          <w:tcPr>
            <w:tcW w:w="0" w:type="dxa"/>
            <w:vAlign w:val="bottom"/>
          </w:tcPr>
          <w:p>
            <w:pPr>
              <w:spacing w:after="0"/>
              <w:rPr>
                <w:sz w:val="1"/>
                <w:szCs w:val="1"/>
                <w:color w:val="auto"/>
              </w:rPr>
            </w:pPr>
          </w:p>
        </w:tc>
      </w:tr>
      <w:tr>
        <w:trPr>
          <w:trHeight w:val="270"/>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consolidated portfolio</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0.2 %</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32"/>
        </w:trPr>
        <w:tc>
          <w:tcPr>
            <w:tcW w:w="57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Total consolidated portfolio - excluding MediaAlpha </w:t>
            </w:r>
            <w:r>
              <w:rPr>
                <w:rFonts w:ascii="Times New Roman" w:cs="Times New Roman" w:eastAsia="Times New Roman" w:hAnsi="Times New Roman"/>
                <w:sz w:val="9"/>
                <w:szCs w:val="9"/>
                <w:color w:val="auto"/>
              </w:rPr>
              <w:t>(1)</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1.0 %</w:t>
            </w: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See </w:t>
      </w:r>
      <w:r>
        <w:rPr>
          <w:rFonts w:ascii="Times New Roman" w:cs="Times New Roman" w:eastAsia="Times New Roman" w:hAnsi="Times New Roman"/>
          <w:sz w:val="14"/>
          <w:szCs w:val="14"/>
          <w:b w:val="1"/>
          <w:bCs w:val="1"/>
          <w:color w:val="auto"/>
        </w:rPr>
        <w:t>“NON-GAAP FINANCIAL MEASURES”</w:t>
      </w:r>
      <w:r>
        <w:rPr>
          <w:rFonts w:ascii="Times New Roman" w:cs="Times New Roman" w:eastAsia="Times New Roman" w:hAnsi="Times New Roman"/>
          <w:sz w:val="14"/>
          <w:szCs w:val="14"/>
          <w:color w:val="auto"/>
        </w:rPr>
        <w:t xml:space="preserve"> on page 70.</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Returns—Three Months Ended March 31, 2026 versus Three Months Ended March 31, 2025</w:t>
      </w:r>
    </w:p>
    <w:p>
      <w:pPr>
        <w:spacing w:after="0" w:line="3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White Mountains’s total consolidated portfolio return on invested assets was 0.2% in the first quarter of 2026, which included $65 million of unrealized investment losses from White Mountains’s investment in MediaAlpha. Excluding MediaAlpha, the total consolidated portfolio return on invested assets was 1.0% in the first quarter of 2026. Excluding MediaAlpha, investment results in the first quarter of 2026 were driven primarily by net investment income, net unrealized investment gains from other long-term investments and net unrealized investment losses from the fixed income and common equity portfolios.</w:t>
      </w:r>
    </w:p>
    <w:p>
      <w:pPr>
        <w:spacing w:after="0" w:line="2"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White Mountains’s total consolidated portfolio return on invested assets was 1.7% in the first quarter of 2025, which included $37 million of unrealized investment losses from White Mountains’s investment in MediaAlpha. Excluding MediaAlpha, the total consolidated portfolio return on invested assets was 2.3% in the first quarter of 2025. Excluding MediaAlpha, investment results in the first quarter of 2025 were driven primarily by net investment income and net unrealized investment gains from the other long-term investments and fixed income portfolios.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Income Results</w:t>
      </w:r>
    </w:p>
    <w:p>
      <w:pPr>
        <w:spacing w:after="0" w:line="2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 xml:space="preserve">White Mountains’s fixed income portfolio, including short-term investments, totaled $4.4 billion and $4.7 billion as of March 31, 2026 and December 31, 2025, which represented 53% and 56% of total invested assets for each period. The duration of White Mountains’s fixed income portfolio, including short-term investments, was 1.7 years and 1.5 years as of March 31, 2026 and December 31, 2025. The change in the fair value and duration of the fixed income portfolio was driven primarily by the sale of short-term investments to fund new capital deployments and purchase ETFs. White Mountains’s fixed income portfolio includes fixed maturity and short-term investments held on deposit or as collateral. See </w:t>
      </w:r>
      <w:r>
        <w:rPr>
          <w:rFonts w:ascii="Times New Roman" w:cs="Times New Roman" w:eastAsia="Times New Roman" w:hAnsi="Times New Roman"/>
          <w:sz w:val="18"/>
          <w:szCs w:val="18"/>
          <w:b w:val="1"/>
          <w:bCs w:val="1"/>
          <w:color w:val="auto"/>
        </w:rPr>
        <w:t>Note 3 — “Investment Securities.”</w:t>
      </w:r>
    </w:p>
    <w:p>
      <w:pPr>
        <w:spacing w:after="0" w:line="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White Mountains’s fixed income portfolio returned 0.5% in the first quarter of 2026 compared to 1.7% in the first quarter of 2025, outperforming and underperforming the Bloomberg Intermediate U.S. Aggregate Index returns of 0.1% and 2.6% for the comparable periods. Results in the first quarter of 2026 were driven primarily by net investment income, partially offset by net unrealized investment losses due to the impact of an increase in interest rates on White Mountains’s short duration fixed income portfolio. Results in the first quarter of 2025 were driven primarily by net investment income and net unrealized investment gains due to the impact of a decline in interest rates on White Mountains’s short duration fixed income portfolio.</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color w:val="auto"/>
        </w:rPr>
        <w:t>Common Equity Securities, Investment in MediaAlpha and Other Long-Term Investments Results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Mountains’s portfolio of common equity securities, its investment in MediaAlpha and other long-term investments totaled $4.0 billion and</w:t>
      </w:r>
    </w:p>
    <w:p>
      <w:pPr>
        <w:spacing w:after="0" w:line="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 xml:space="preserve">$3.7 billion as of March 31, 2026 and December 31, 2025, which represented 47% and 44% of total invested assets for each period. The change was driven primarily by increased exposure to other long-term investments, principally due to new unconsolidated entities and an increase in the fair value of Kudu’s Participation Contracts. See </w:t>
      </w:r>
      <w:r>
        <w:rPr>
          <w:rFonts w:ascii="Times New Roman" w:cs="Times New Roman" w:eastAsia="Times New Roman" w:hAnsi="Times New Roman"/>
          <w:sz w:val="18"/>
          <w:szCs w:val="18"/>
          <w:b w:val="1"/>
          <w:bCs w:val="1"/>
          <w:color w:val="auto"/>
        </w:rPr>
        <w:t>Note 3 — “Investment Securities.”</w:t>
      </w:r>
    </w:p>
    <w:p>
      <w:pPr>
        <w:spacing w:after="0" w:line="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White Mountains’s portfolio of common equity securities, its investment in MediaAlpha and other long-term investments returned -0.3% in the first quarter of 2026, which included $65 million of unrealized investment losses from White Mountains’s investment in MediaAlpha. White Mountains’s portfolio of common equity securities and other long-term investments returned 1.6% in the first quarter of 2026. White Mountains’s portfolio of common equity securities, its investment in MediaAlpha and other long-term investments returned 1.6% in the first quarter of 2025, which included $37 million of unrealized investment losses from White Mountains’s investment in MediaAlpha. White Mountains’s portfolio of common equity securities and other long-term investments returned 3.1% in the first quarter of 2025.</w:t>
      </w:r>
    </w:p>
    <w:p>
      <w:pPr>
        <w:spacing w:after="0" w:line="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White Mountains’s portfolio of common equity securities generally consists of international listed equity funds, primarily held at Ark, and passive ETFs. White Mountains’s ETFs seek to provide investment results generally corresponding to the performance of the S&amp;P 500 Index. White Mountains’s portfolio of common equity securities was $547 million and $483 million as of March 31, 2026 and December 31, 2025. The increase was driven in part by the redeployment of sale proceeds from the Bamboo Transaction to purchase ETFs.</w:t>
      </w:r>
    </w:p>
    <w:p>
      <w:pPr>
        <w:spacing w:after="0" w:line="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White Mountains’s portfolio of common equity securities returned -4.4% in the first quarter of 2026 compared to 1.8% in the first quarter of 2025, underperforming and outperforming the S&amp;P 500 Index returns of -4.3% for both comparable periods. Investment returns in the first quarter of 2026 were essentially in-line with the benchmark. The outperformance in the first quarter of 2025 was driven primarily by certain international listed equity funds that employ a market neutral strategy.</w:t>
      </w:r>
    </w:p>
    <w:p>
      <w:pPr>
        <w:spacing w:after="0" w:line="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White Mountains maintains a portfolio of other long-term investments that consists primarily of unconsolidated entities, including Kudu’s Participation Contracts, the Bamboo SPV, PassportCard/DavidShield, the BroadStreet SPV, and Bishop Street, as well as, private equity funds and hedge funds, a bank loan fund and Lloyd’s trust deposits. White Mountains’s portfolio of other long-term investments totaled $3.3 billion and $3.0 billion as of March 31, 2026 and December 31, 2025.</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White Mountains’s portfolio of other long-term investments returned 2.6% in the first quarter of 2026 compared to 3.3% in the first quarter of 2025. Investment returns for the first quarter of 2026 were driven primarily by net investment income and net unrealized investment gains from Kudu’s Participation Contracts, as well as net unrealized investment gains from certain unconsolidated entities. Investment returns for the first quarter of 2025 were driven primarily by net investment income and net unrealized investment gains from Kudu’s Participation Contracts.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Exposure</w:t>
      </w:r>
    </w:p>
    <w:p>
      <w:pPr>
        <w:spacing w:after="0" w:line="25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As of March 31, 2026, White Mountains had foreign currency exposure on $392 million of net assets, primarily related to Ark/WM Outrigger’s non-U.S. contracts, Kudu’s non-U.S. Participation Contracts and a private debt instrument, as well as certain other foreign consolidated and unconsolidated entities. The following table presents the fair value of White Mountains’s foreign denominated net assets (liabilities) by segment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37465</wp:posOffset>
            </wp:positionV>
            <wp:extent cx="49206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67"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20" w:type="dxa"/>
            <w:vAlign w:val="bottom"/>
          </w:tcPr>
          <w:p>
            <w:pPr>
              <w:spacing w:after="0"/>
              <w:rPr>
                <w:sz w:val="13"/>
                <w:szCs w:val="13"/>
                <w:color w:val="auto"/>
              </w:rPr>
            </w:pP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Ark/</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Kudu</w:t>
            </w:r>
          </w:p>
        </w:tc>
        <w:tc>
          <w:tcPr>
            <w:tcW w:w="14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120" w:type="dxa"/>
            <w:vAlign w:val="bottom"/>
            <w:vMerge w:val="restart"/>
          </w:tcPr>
          <w:p>
            <w:pPr>
              <w:spacing w:after="0"/>
              <w:rPr>
                <w:sz w:val="11"/>
                <w:szCs w:val="11"/>
                <w:color w:val="auto"/>
              </w:rPr>
            </w:pPr>
          </w:p>
        </w:tc>
        <w:tc>
          <w:tcPr>
            <w:tcW w:w="1140" w:type="dxa"/>
            <w:vAlign w:val="bottom"/>
          </w:tcPr>
          <w:p>
            <w:pPr>
              <w:jc w:val="center"/>
              <w:ind w:left="116"/>
              <w:spacing w:after="0" w:line="13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42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WM Outrigger</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20" w:type="dxa"/>
            <w:vAlign w:val="bottom"/>
          </w:tcPr>
          <w:p>
            <w:pPr>
              <w:spacing w:after="0"/>
              <w:rPr>
                <w:sz w:val="17"/>
                <w:szCs w:val="17"/>
                <w:color w:val="auto"/>
              </w:rPr>
            </w:pPr>
          </w:p>
        </w:tc>
        <w:tc>
          <w:tcPr>
            <w:tcW w:w="1100" w:type="dxa"/>
            <w:vAlign w:val="bottom"/>
            <w:tcBorders>
              <w:bottom w:val="single" w:sz="8" w:color="auto"/>
            </w:tcBorders>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40" w:type="dxa"/>
            <w:vAlign w:val="bottom"/>
            <w:tcBorders>
              <w:bottom w:val="single" w:sz="8" w:color="auto"/>
            </w:tcBorders>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CAD</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GBP</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5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173.2</w:t>
            </w:r>
          </w:p>
        </w:tc>
        <w:tc>
          <w:tcPr>
            <w:tcW w:w="14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216.7</w:t>
            </w:r>
          </w:p>
        </w:tc>
        <w:tc>
          <w:tcPr>
            <w:tcW w:w="14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1.6</w:t>
            </w:r>
          </w:p>
        </w:tc>
        <w:tc>
          <w:tcPr>
            <w:tcW w:w="1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391.5</w:t>
            </w:r>
          </w:p>
        </w:tc>
        <w:tc>
          <w:tcPr>
            <w:tcW w:w="120" w:type="dxa"/>
            <w:vAlign w:val="bottom"/>
            <w:tcBorders>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6.5 %</w:t>
            </w:r>
          </w:p>
        </w:tc>
        <w:tc>
          <w:tcPr>
            <w:tcW w:w="0" w:type="dxa"/>
            <w:vAlign w:val="bottom"/>
          </w:tcPr>
          <w:p>
            <w:pPr>
              <w:spacing w:after="0"/>
              <w:rPr>
                <w:sz w:val="1"/>
                <w:szCs w:val="1"/>
                <w:color w:val="auto"/>
              </w:rPr>
            </w:pPr>
          </w:p>
        </w:tc>
      </w:tr>
      <w:tr>
        <w:trPr>
          <w:trHeight w:val="21"/>
        </w:trPr>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III. Income Taxes</w:t>
      </w:r>
    </w:p>
    <w:p>
      <w:pPr>
        <w:spacing w:after="0" w:line="25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As of March 31, 2026, the primary jurisdictions in which the Company’s subsidiaries and branches operated and were subject to tax include the United States, the United Kingdom, Luxembourg and Israel.</w:t>
      </w:r>
    </w:p>
    <w:p>
      <w:pPr>
        <w:spacing w:after="0" w:line="250" w:lineRule="auto"/>
        <w:rPr>
          <w:sz w:val="20"/>
          <w:szCs w:val="20"/>
          <w:color w:val="auto"/>
        </w:rPr>
      </w:pPr>
      <w:r>
        <w:rPr>
          <w:rFonts w:ascii="Times New Roman" w:cs="Times New Roman" w:eastAsia="Times New Roman" w:hAnsi="Times New Roman"/>
          <w:sz w:val="18"/>
          <w:szCs w:val="18"/>
          <w:color w:val="auto"/>
        </w:rPr>
        <w:t>On December 15, 2022, European Union Member States voted to adopt the EU Minimum Tax Directive in conformity with the OECD Pillar Two initiative. The Pillar Two initiative includes a set of model rules that are generally designed to impose a top-up tax on a large multinational enterprise group to the extent that the group is not subject to an effective tax rate of at least 15% in each jurisdiction in which the group has a consolidated affiliate or permanent establishment. The EU Minimum Tax Directive required European Union Member States to enact conforming law by December 31, 2023. The main rule of the EU Minimum Tax Directive, the Income Inclusion Rule (“IIR”), was to become effective for fiscal years beginning on or after December 31, 2023, while the UTPR was to become effective for fiscal years beginning on or after December 31, 2024. The EU Minimum Tax Directive also permits European Union Member States to elect to apply a Qualified Domestic Minimum Top-up Tax (“QDMTT”) for fiscal years beginning on or after December 31, 2023. As of March 31, 2026, White Mountains does not expect that it will be subject to a top-up tax for the year ending December 31, 2026.</w:t>
      </w:r>
    </w:p>
    <w:p>
      <w:pPr>
        <w:spacing w:after="0" w:line="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July 11, 2023, the United Kingdom enacted conforming Pillar Two legislation including the IIR and QDMTT, which became effective for fiscal years beginning on or after December 31, 2023. On March 20, 2025, the United Kingdom enacted legislation adopting the Pillar Two UTPR effective for fiscal years beginning on or after December 31, 2024. Under the legislation, the effective date of the UTPR is deferred until fiscal years beginning on or after December 31, 2029 for U.K. companies in consolidated groups that meet certain requirements. To qualify for the deferral, generally the group must (i) have consolidated affiliates and permanent establishments in six or fewer countries and (ii) have no more than €50 million of net tangible assets outside of the country where the group has the largest amount of net tangible assets. White Mountains expects to meet the requirements to be exempt from the U.K. UTPR until January 1, 2030.</w:t>
      </w:r>
    </w:p>
    <w:p>
      <w:pPr>
        <w:spacing w:after="0" w:line="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On December 20, 2023, Luxembourg enacted conforming Pillar Two legislation including the IIR and QDMTT, which became effective for fiscal years beginning on or after December 31, 2023, and the UTPR, which became effective for fiscal years beginning on or after December 31, 2024. The Luxembourg Pillar Two legislation defers the effective date of the QDMTT and UTPR until fiscal years beginning on or after December 31, 2028 and 2029, respectively, for Luxembourg companies in consolidated groups that meet certain requirements. To qualify for the deferral, generally the group must</w:t>
      </w:r>
    </w:p>
    <w:p>
      <w:pPr>
        <w:spacing w:after="0" w:line="1" w:lineRule="exact"/>
        <w:rPr>
          <w:sz w:val="20"/>
          <w:szCs w:val="20"/>
          <w:color w:val="auto"/>
        </w:rPr>
      </w:pPr>
    </w:p>
    <w:p>
      <w:pPr>
        <w:ind w:right="80" w:firstLine="8"/>
        <w:spacing w:after="0" w:line="250" w:lineRule="auto"/>
        <w:tabs>
          <w:tab w:leader="none" w:pos="2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consolidated affiliates and permanent establishments in six or fewer countries and (ii) have no more than €50 million of net tangible assets outside of the country where the group has the largest amount of net tangible assets. White Mountains expects to meet the requirements to be exempt from the Luxembourg QDMTT and UTPR until January 1, 2029 and 2030, respectively.</w:t>
      </w:r>
    </w:p>
    <w:p>
      <w:pPr>
        <w:spacing w:after="0" w:line="1" w:lineRule="exact"/>
        <w:rPr>
          <w:rFonts w:ascii="Times New Roman" w:cs="Times New Roman" w:eastAsia="Times New Roman" w:hAnsi="Times New Roman"/>
          <w:sz w:val="18"/>
          <w:szCs w:val="18"/>
          <w:color w:val="auto"/>
        </w:rPr>
      </w:pPr>
    </w:p>
    <w:p>
      <w:pPr>
        <w:ind w:right="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30, 2025, Israel enacted conforming Pillar Two legislation that adopts a QDMTT, which became effective for fiscal years beginning on or after January 1, 2026.</w:t>
      </w:r>
    </w:p>
    <w:p>
      <w:pPr>
        <w:ind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27, 2023, Bermuda enacted a 15% corporate income tax that became effective on January 1, 2025. The Bermuda tax legislation defers the effective date for five years, for Bermuda companies in consolidated groups that meet certain requirements. To qualify for the deferral, generally the group must (i) have consolidated affiliates and permanent establishments in six or fewer countries, (ii) have no more than €50 million of net tangible assets outside of the country where the group has the largest amount of net tangible assets and (iii) not have a consolidated Bermuda affiliate or Bermuda permanent establishment directly or indirectly owned by a parent entity that is subject to the Pillar Two IIR in any jurisdiction. White Mountains expects to meet the requirements to be exempt from the Bermuda corporate income tax until January 1, 2030.</w:t>
      </w:r>
    </w:p>
    <w:p>
      <w:pPr>
        <w:spacing w:after="0" w:line="2" w:lineRule="exact"/>
        <w:rPr>
          <w:rFonts w:ascii="Times New Roman" w:cs="Times New Roman" w:eastAsia="Times New Roman" w:hAnsi="Times New Roman"/>
          <w:sz w:val="18"/>
          <w:szCs w:val="18"/>
          <w:color w:val="auto"/>
        </w:rPr>
      </w:pPr>
    </w:p>
    <w:p>
      <w:pPr>
        <w:ind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Bermuda tax legislation also provides for an optional economic transition adjustment that can decrease or increase future years’ taxable income. Under GAAP, this economic transition adjustment was required to be recorded as a deferred tax asset or liability as of December 31, 2023 if a company intended to apply the adjustment to compute its taxable income. Accordingly, White Mountains recognized a net deferred tax benefit of $68 million in 2023, of which $51 million was recognized at Ark and $17 million was recognized at HG Global. As of July 1, 2024, White Mountains no longer consolidates BAM. As a result of the deconsolidation, the BAM Surplus Notes are recorded at fair value, which resulted in the reversal of a $5 million deferred tax liability related to the economic transition adjustment, generating a $5 million deferred tax benefit in 2024. On December 11, 2025, Bermuda enacted legislation that changed the scope of assets and liabilities subject to the economic transition adjustment. This legislation resulted in the reversal of a $5 million deferred tax liability related to the economic transition adjustment, generating a $5 million deferred tax benefit in 2025.</w:t>
      </w:r>
    </w:p>
    <w:p>
      <w:pPr>
        <w:spacing w:after="0" w:line="3" w:lineRule="exact"/>
        <w:rPr>
          <w:rFonts w:ascii="Times New Roman" w:cs="Times New Roman" w:eastAsia="Times New Roman" w:hAnsi="Times New Roman"/>
          <w:sz w:val="18"/>
          <w:szCs w:val="18"/>
          <w:color w:val="auto"/>
        </w:rPr>
      </w:pP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15, 2025, the OECD released administrative guidance on its Pillar Two model rules (the “January 2025 OECD Administrative Guidance”). The January 2025 OECD Administrative Guidance provides that, subject to limited exceptions, deferred tax expense attributable to deferred tax assets resulting from the introduction of a new corporate income tax after November 30, 2021 is to be excluded when assessing whether a multinational enterprise group has an effective tax rate of at least 15% in the jurisdiction that adopted the corporate income tax. Deferred tax assets associated with the economic transition adjustment recorded under the Bermuda corporate income tax are expected to be within the scope of the January 2025 OECD Administrative Guidance.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68" w:name="page69"/>
    <w:bookmarkEnd w:id="68"/>
    <w:p>
      <w:pPr>
        <w:ind w:right="40"/>
        <w:spacing w:after="0" w:line="253" w:lineRule="auto"/>
        <w:rPr>
          <w:sz w:val="20"/>
          <w:szCs w:val="20"/>
          <w:color w:val="auto"/>
        </w:rPr>
      </w:pPr>
      <w:r>
        <w:rPr>
          <w:rFonts w:ascii="Times New Roman" w:cs="Times New Roman" w:eastAsia="Times New Roman" w:hAnsi="Times New Roman"/>
          <w:sz w:val="18"/>
          <w:szCs w:val="18"/>
          <w:color w:val="auto"/>
        </w:rPr>
        <w:t>On December 17, 2025, Luxembourg enacted legislation that adopts the January 2025 OECD Administrative Guidance. On March 18, 2026, the United Kingdom enacted legislation that adopts the January OECD Administrative Guidance. Accordingly, in any future year in which the economic transition adjustment deferred tax asset is utilized, White Mountains expects to incur a top-up tax under the Luxembourg and United Kingdom UTPR equal to the amount of the deferred tax expense for that year associated with the economic transition adjustment. Consequently, White Mountains expects to derive no economic benefit from the Bermuda economic transition adjustment and intends to opt out of the economic transition adjustment upon becoming subject to Bermuda corporate income tax. Accordingly, White Mountains recognized a deferred tax expense of $78 million in 2025 to reverse the net deferred tax asset related to the Bermuda economic transition adjustment.</w:t>
      </w:r>
    </w:p>
    <w:p>
      <w:pPr>
        <w:spacing w:after="0" w:line="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December 11, 2025, the Bermuda government enacted legislation providing certain incentives for Bermuda-based employment, training, local expenditure and community development. The incentives are based on qualifying expenditures of eligible Bermuda entities and are provided in the form of a refundable tax credit. A Bermuda entity may be eligible for the incentives regardless of whether it is subject to the Bermuda corporate income tax. For the three months ended March 31, 2026, White Mountains recognized a $3 million benefit for the incentives as a reduction to general and administrative expenses.</w:t>
      </w:r>
    </w:p>
    <w:p>
      <w:pPr>
        <w:spacing w:after="0" w:line="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On July 4, 2025, the U.S. enacted the One Big Beautiful Bill Act (“OBBBA”). White Mountains does not expect the OBBBA to have a material impact on its financial statements.</w:t>
      </w:r>
    </w:p>
    <w:p>
      <w:pPr>
        <w:spacing w:after="0" w:line="1" w:lineRule="exact"/>
        <w:rPr>
          <w:sz w:val="20"/>
          <w:szCs w:val="20"/>
          <w:color w:val="auto"/>
        </w:rPr>
      </w:pPr>
    </w:p>
    <w:p>
      <w:pPr>
        <w:jc w:val="both"/>
        <w:ind w:right="520"/>
        <w:spacing w:after="0" w:line="250" w:lineRule="auto"/>
        <w:rPr>
          <w:sz w:val="20"/>
          <w:szCs w:val="20"/>
          <w:color w:val="auto"/>
        </w:rPr>
      </w:pPr>
      <w:r>
        <w:rPr>
          <w:rFonts w:ascii="Times New Roman" w:cs="Times New Roman" w:eastAsia="Times New Roman" w:hAnsi="Times New Roman"/>
          <w:sz w:val="18"/>
          <w:szCs w:val="18"/>
          <w:color w:val="auto"/>
        </w:rPr>
        <w:t>White Mountains’s income tax expense related to pre-tax loss from continuing operations for the three months ended March 31, 2026 represented an effective tax rate of (3)%. The effective tax rate was different from the U.S. statutory rate of 21%, driven primarily by full year forecasted income in jurisdictions with lower tax rates than the United States and full valuation allowances on deferred tax assets at certain U.S. operations.</w:t>
      </w:r>
    </w:p>
    <w:p>
      <w:pPr>
        <w:spacing w:after="0" w:line="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White Mountains’s income tax expense related to pre-tax income from continuing operations for the three months ended March 31, 2025 represented an effective tax rate of 13%. The effective tax rate was different from the U.S. statutory rate of 21%, driven primarily by full year forecasted income in jurisdictions with lower tax rates than the United States.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Cash and Short-term Investments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Holding Company Level</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primary sources of cash for the Company and certain of its intermediate holding companies are expected to be distributions from its insurance, reinsurance and other operating subsidiaries, net investment income, proceeds from sales, repayments and maturities of investments, borrowings from credit facilities, capital raising activities and, from time to time, proceeds from sales of operating subsidiaries. The primary uses of cash are expected to be general and administrative expenses, purchases of investments, payments to tax authorities, payments on and repurchases/retirements of debt obligations, dividend payments to holders of the Company’s common shares, distributions to noncontrolling interest holders of consolidated subsidiaries, contributions to operating subsidiaries and, from time to time, purchases of operating subsidiaries and repurchases of the Company’s common shares.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Subsidiary Level</w:t>
      </w:r>
    </w:p>
    <w:p>
      <w:pPr>
        <w:spacing w:after="0" w:line="3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primary sources of cash for White Mountains’s insurance, reinsurance and other operating subsidiaries are expected to be premium and fee collections, commissions, net investment income, proceeds from sales, repayments and maturities of investments, contributions from holding companies, borrowings from credit facilities and capital raising activities. The primary uses of cash are expected to be claim payments, policy acquisition costs, general and administrative expenses, broker commission expenses, cost of sales, purchases of investments, payments to tax authorities, payments on and repurchases/retirements of debt obligations, distributions to holding companies, distributions to noncontrolling interest holders and, from time to time, purchases of operating subsidiaries.</w:t>
      </w:r>
    </w:p>
    <w:p>
      <w:pPr>
        <w:spacing w:after="0" w:line="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Both internal and external forces influence White Mountains’s financial condition, results of operations and cash flows. Premium and fee collections, investment returns, claim payments and cost of sales may be impacted by changing rates of inflation and other economic conditions. Some time may lapse between the occurrence of an insured loss, the reporting of the loss to White Mountains’s insurance and reinsurance operating subsidiaries and the settlement of the liability for that loss. The exact timing of the payment of losses cannot be predicted with certainty. White Mountains’s insurance and reinsurance operating subsidiaries maintain portfolios of invested assets with varying maturities and a substantial amount of cash and short-term investments to provide adequate liquidity for the payment of claims.</w:t>
      </w:r>
    </w:p>
    <w:p>
      <w:pPr>
        <w:spacing w:after="0" w:line="2"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7"/>
          <w:szCs w:val="17"/>
          <w:color w:val="auto"/>
        </w:rPr>
        <w:t>Management believes that White Mountains’s cash balances, cash flows from operations and routine sales and maturities of investments are adequate to meet expected cash requirements for the foreseeable future at both a holding company and insurance, reinsurance and other operating subsidiary level.</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Dividend Capacity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description of the dividend capacity of White Mountains’s insurance and reinsurance and other operating subsidiaries: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Ark/WM Outrigger</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During any 12-month period, GAIL, a class 4 licensed Bermuda insurer, has the ability to (i) make capital distributions of up to 15% of its total statutory capital per the previous year’s statutory financial statements or (ii) make dividend payments of up to 25% of its total statutory capital and surplus per the previous year’s statutory financial statements, without prior approval of Bermuda regulatory authorities. Accordingly, GAIL will have the ability to pay a dividend of up to $425 million during 2026, which is equal to 25% of its statutory capital and surplus of $1,700 million as of December 31, 2025, subject to meeting all appropriate liquidity and solvency requirements. During the three months ended March 31, 2026, GAIL did not pay any dividends to its immediate parent.</w:t>
      </w:r>
    </w:p>
    <w:p>
      <w:pPr>
        <w:spacing w:after="0" w:line="2" w:lineRule="exact"/>
        <w:rPr>
          <w:sz w:val="20"/>
          <w:szCs w:val="20"/>
          <w:color w:val="auto"/>
        </w:rPr>
      </w:pPr>
    </w:p>
    <w:p>
      <w:pPr>
        <w:jc w:val="both"/>
        <w:ind w:right="620"/>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2026, Ark declared a $51 million dividend to shareholders, including $36 million that was paid to White Mountains in April 2026. As of March 31, 2026, Ark and its intermediate holding companies had $9 million of net unrestricted cash and short-term investments outside of its regulated and unregulated insurance and reinsurance operating subsidiaries.</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WM Outrigger Re is a special purpose insurer subject to regulation and supervision by the BMA. WM Outrigger Re does not require regulatory approval to pay dividends; however, its dividend capacity is limited to amounts held outside of the collateral trust pursuant to its reinsurance agreement with GAIL. As of March 31, 2026, WM Outrigger Re had less than $1 million of net unrestricted cash held outside the collateral trust. As of March 31, 2026, WM Outrigger Re had $96 million of statutory capital and surplus and $118 million of assets held in the collateral trusts pursuant to the reinsurance agreement with GAIL. During the three months ended March 31, 2026, White Mountains received distributions totaling $139 million from WM Outrigger 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Kudu</w:t>
      </w:r>
    </w:p>
    <w:p>
      <w:pPr>
        <w:spacing w:after="0" w:line="3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During the three months ended March 31, 2026, Kudu distributed $4 million to unitholders, substantially all of which was paid to White Mountains. As of March 31, 2026, Kudu had $25 million of net unrestricted cash and short-term investments.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HG Global</w:t>
      </w:r>
    </w:p>
    <w:p>
      <w:pPr>
        <w:spacing w:after="0" w:line="2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As of March 31, 2026, HG Global had $619 million face value of preferred shares outstanding, of which White Mountains owned 96.9%. Holders of the HG Global preferred shares are entitled to receive cumulative dividends at a fixed annual rate of 6.0% on a quarterly basis, payable when and if declared by HG Global. As of March 31, 2026, HG Global has accrued $561 million of dividends payable to holders of its preferred shares, $544 million of which is payable to White Mountains and is eliminated in consolidation. As of March 31, 2026, HG Global and its subsidiaries had $29 million of net unrestricted cash and short-term investments outside of HG Re.</w:t>
      </w:r>
    </w:p>
    <w:p>
      <w:pPr>
        <w:ind w:right="40"/>
        <w:spacing w:after="0" w:line="250" w:lineRule="auto"/>
        <w:rPr>
          <w:sz w:val="20"/>
          <w:szCs w:val="20"/>
          <w:color w:val="auto"/>
        </w:rPr>
      </w:pPr>
      <w:r>
        <w:rPr>
          <w:rFonts w:ascii="Times New Roman" w:cs="Times New Roman" w:eastAsia="Times New Roman" w:hAnsi="Times New Roman"/>
          <w:sz w:val="18"/>
          <w:szCs w:val="18"/>
          <w:color w:val="auto"/>
        </w:rPr>
        <w:t>HG Re is a special purpose insurer subject to regulation and supervision by the BMA. HG Re does not require regulatory approval to pay dividends; however, its dividend capacity is limited to amounts held outside of the Collateral Trusts. As of March 31, 2026, HG Re had $10 million of net unrestricted cash and short-term investments. As of March 31, 2026, HG Re had $186 million of accrued interest on the BAM Surplus Notes held outside the Collateral Trusts. As of March 31, 2026, HG Re had $745 million of statutory capital and surplus and $1,009 million of assets held in the Collateral Trusts.</w:t>
      </w:r>
    </w:p>
    <w:p>
      <w:pPr>
        <w:spacing w:after="0" w:line="2"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 xml:space="preserve">HG Global has two primary sources of cash flows: (i) interest payments on the BAM Surplus Notes that are made outside the Collateral Trusts and (ii) releases of excess balances from the Collateral Trusts. During the three months ended March 31, 2026, HG Global did not receive any payments of principal and interest on the BAM Surplus Notes. During the three months ended March 31, 2026, HG Re received a distribution from the Supplemental Trust of $15 million, which consisted of an assignment of accrued interest on the BAM Surplus Notes of $7 million and a cash distribution of $8 million. See </w:t>
      </w:r>
      <w:r>
        <w:rPr>
          <w:rFonts w:ascii="Times New Roman" w:cs="Times New Roman" w:eastAsia="Times New Roman" w:hAnsi="Times New Roman"/>
          <w:sz w:val="18"/>
          <w:szCs w:val="18"/>
          <w:b w:val="1"/>
          <w:bCs w:val="1"/>
          <w:color w:val="auto"/>
        </w:rPr>
        <w:t>Note 10 — “Municipal Bond Guarantee Reinsurance.”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Distinguished</w:t>
      </w:r>
    </w:p>
    <w:p>
      <w:pPr>
        <w:spacing w:after="0" w:line="3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During the three months ended March 31, 2026, Distinguished did not make any distributions to its unitholders. As of March 31, 2026, Distinguished had $10 million of net unrestricted cash and short-term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Operations</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2026, White Mountains paid a $2 million common share dividend. As of March 31, 2026, the Company and its intermediate holding companies had $724 million of net unrestricted cash, short-term investments and fixed maturity investments, $166 million of MediaAlpha common stock, $147 million of common equity securities and $329 million of private equity and hedge funds, ILS funds and certain unconsolidated entities.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White Mountains’s capital structure as of March 31, 2026 and December 31, 2025:</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210"/>
        </w:trPr>
        <w:tc>
          <w:tcPr>
            <w:tcW w:w="5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Ark 2021 Subordinated Notes </w:t>
            </w:r>
            <w:r>
              <w:rPr>
                <w:rFonts w:ascii="Times New Roman" w:cs="Times New Roman" w:eastAsia="Times New Roman" w:hAnsi="Times New Roman"/>
                <w:sz w:val="9"/>
                <w:szCs w:val="9"/>
                <w:color w:val="auto"/>
              </w:rPr>
              <w:t>(1) (2)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159.3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159.7</w:t>
            </w:r>
          </w:p>
        </w:tc>
        <w:tc>
          <w:tcPr>
            <w:tcW w:w="0" w:type="dxa"/>
            <w:vAlign w:val="bottom"/>
          </w:tcPr>
          <w:p>
            <w:pPr>
              <w:spacing w:after="0"/>
              <w:rPr>
                <w:sz w:val="1"/>
                <w:szCs w:val="1"/>
                <w:color w:val="auto"/>
              </w:rPr>
            </w:pPr>
          </w:p>
        </w:tc>
      </w:tr>
      <w:tr>
        <w:trPr>
          <w:trHeight w:val="25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Kudu Credit Facility </w:t>
            </w:r>
            <w:r>
              <w:rPr>
                <w:rFonts w:ascii="Times New Roman" w:cs="Times New Roman" w:eastAsia="Times New Roman" w:hAnsi="Times New Roman"/>
                <w:sz w:val="9"/>
                <w:szCs w:val="9"/>
                <w:color w:val="auto"/>
              </w:rPr>
              <w:t>(1) (2)</w:t>
            </w:r>
          </w:p>
        </w:tc>
        <w:tc>
          <w:tcPr>
            <w:tcW w:w="260" w:type="dxa"/>
            <w:vAlign w:val="bottom"/>
          </w:tcPr>
          <w:p>
            <w:pPr>
              <w:spacing w:after="0"/>
              <w:rPr>
                <w:sz w:val="22"/>
                <w:szCs w:val="22"/>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350.6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350.4</w:t>
            </w:r>
          </w:p>
        </w:tc>
        <w:tc>
          <w:tcPr>
            <w:tcW w:w="0" w:type="dxa"/>
            <w:vAlign w:val="bottom"/>
          </w:tcPr>
          <w:p>
            <w:pPr>
              <w:spacing w:after="0"/>
              <w:rPr>
                <w:sz w:val="1"/>
                <w:szCs w:val="1"/>
                <w:color w:val="auto"/>
              </w:rPr>
            </w:pPr>
          </w:p>
        </w:tc>
      </w:tr>
      <w:tr>
        <w:trPr>
          <w:trHeight w:val="257"/>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HG Global Senior Notes </w:t>
            </w:r>
            <w:r>
              <w:rPr>
                <w:rFonts w:ascii="Times New Roman" w:cs="Times New Roman" w:eastAsia="Times New Roman" w:hAnsi="Times New Roman"/>
                <w:sz w:val="9"/>
                <w:szCs w:val="9"/>
                <w:color w:val="auto"/>
              </w:rPr>
              <w:t>(1) (2)</w:t>
            </w:r>
          </w:p>
        </w:tc>
        <w:tc>
          <w:tcPr>
            <w:tcW w:w="260" w:type="dxa"/>
            <w:vAlign w:val="bottom"/>
          </w:tcPr>
          <w:p>
            <w:pPr>
              <w:spacing w:after="0"/>
              <w:rPr>
                <w:sz w:val="22"/>
                <w:szCs w:val="22"/>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147.9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57"/>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Distinguished Credit Facility </w:t>
            </w:r>
            <w:r>
              <w:rPr>
                <w:rFonts w:ascii="Times New Roman" w:cs="Times New Roman" w:eastAsia="Times New Roman" w:hAnsi="Times New Roman"/>
                <w:sz w:val="9"/>
                <w:szCs w:val="9"/>
                <w:color w:val="auto"/>
              </w:rPr>
              <w:t>(1) (2)</w:t>
            </w:r>
          </w:p>
        </w:tc>
        <w:tc>
          <w:tcPr>
            <w:tcW w:w="260" w:type="dxa"/>
            <w:vAlign w:val="bottom"/>
          </w:tcPr>
          <w:p>
            <w:pPr>
              <w:spacing w:after="0"/>
              <w:rPr>
                <w:sz w:val="22"/>
                <w:szCs w:val="22"/>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129.6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57"/>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Distinguished other debt</w:t>
            </w:r>
          </w:p>
        </w:tc>
        <w:tc>
          <w:tcPr>
            <w:tcW w:w="260" w:type="dxa"/>
            <w:vAlign w:val="bottom"/>
          </w:tcPr>
          <w:p>
            <w:pPr>
              <w:spacing w:after="0"/>
              <w:rPr>
                <w:sz w:val="22"/>
                <w:szCs w:val="22"/>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11.2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5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Operations debt </w:t>
            </w:r>
            <w:r>
              <w:rPr>
                <w:rFonts w:ascii="Times New Roman" w:cs="Times New Roman" w:eastAsia="Times New Roman" w:hAnsi="Times New Roman"/>
                <w:sz w:val="9"/>
                <w:szCs w:val="9"/>
                <w:color w:val="auto"/>
              </w:rPr>
              <w:t>(1) (2)</w:t>
            </w: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36.2</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50"/>
        </w:trPr>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Pr>
          <w:p>
            <w:pPr>
              <w:spacing w:after="0"/>
              <w:rPr>
                <w:sz w:val="21"/>
                <w:szCs w:val="21"/>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834.8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837.0</w:t>
            </w:r>
          </w:p>
        </w:tc>
        <w:tc>
          <w:tcPr>
            <w:tcW w:w="0" w:type="dxa"/>
            <w:vAlign w:val="bottom"/>
          </w:tcPr>
          <w:p>
            <w:pPr>
              <w:spacing w:after="0"/>
              <w:rPr>
                <w:sz w:val="1"/>
                <w:szCs w:val="1"/>
                <w:color w:val="auto"/>
              </w:rPr>
            </w:pPr>
          </w:p>
        </w:tc>
      </w:tr>
      <w:tr>
        <w:trPr>
          <w:trHeight w:val="25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60" w:type="dxa"/>
            <w:vAlign w:val="bottom"/>
          </w:tcPr>
          <w:p>
            <w:pPr>
              <w:spacing w:after="0"/>
              <w:rPr>
                <w:sz w:val="22"/>
                <w:szCs w:val="22"/>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131.5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57"/>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Nonredeemable noncontrolling interests</w:t>
            </w:r>
          </w:p>
        </w:tc>
        <w:tc>
          <w:tcPr>
            <w:tcW w:w="260" w:type="dxa"/>
            <w:vAlign w:val="bottom"/>
          </w:tcPr>
          <w:p>
            <w:pPr>
              <w:spacing w:after="0"/>
              <w:rPr>
                <w:sz w:val="22"/>
                <w:szCs w:val="22"/>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671.0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698.2</w:t>
            </w:r>
          </w:p>
        </w:tc>
        <w:tc>
          <w:tcPr>
            <w:tcW w:w="0" w:type="dxa"/>
            <w:vAlign w:val="bottom"/>
          </w:tcPr>
          <w:p>
            <w:pPr>
              <w:spacing w:after="0"/>
              <w:rPr>
                <w:sz w:val="1"/>
                <w:szCs w:val="1"/>
                <w:color w:val="auto"/>
              </w:rPr>
            </w:pPr>
          </w:p>
        </w:tc>
      </w:tr>
      <w:tr>
        <w:trPr>
          <w:trHeight w:val="257"/>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White Mountains’s common shareholders’ equity</w:t>
            </w: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5,373.5</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5,425.4</w:t>
            </w:r>
          </w:p>
        </w:tc>
        <w:tc>
          <w:tcPr>
            <w:tcW w:w="0" w:type="dxa"/>
            <w:vAlign w:val="bottom"/>
          </w:tcPr>
          <w:p>
            <w:pPr>
              <w:spacing w:after="0"/>
              <w:rPr>
                <w:sz w:val="1"/>
                <w:szCs w:val="1"/>
                <w:color w:val="auto"/>
              </w:rPr>
            </w:pPr>
          </w:p>
        </w:tc>
      </w:tr>
      <w:tr>
        <w:trPr>
          <w:trHeight w:val="223"/>
        </w:trPr>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capital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7,010.8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7,092.1</w:t>
            </w:r>
          </w:p>
        </w:tc>
        <w:tc>
          <w:tcPr>
            <w:tcW w:w="0" w:type="dxa"/>
            <w:vAlign w:val="bottom"/>
          </w:tcPr>
          <w:p>
            <w:pPr>
              <w:spacing w:after="0"/>
              <w:rPr>
                <w:sz w:val="1"/>
                <w:szCs w:val="1"/>
                <w:color w:val="auto"/>
              </w:rPr>
            </w:pPr>
          </w:p>
        </w:tc>
      </w:tr>
      <w:tr>
        <w:trPr>
          <w:trHeight w:val="21"/>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Total debt to total capital</w:t>
            </w: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auto"/>
            </w:tcBorders>
            <w:gridSpan w:val="2"/>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11.9 %</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 xml:space="preserve">(1) </w:t>
      </w:r>
      <w:r>
        <w:rPr>
          <w:rFonts w:ascii="Times New Roman" w:cs="Times New Roman" w:eastAsia="Times New Roman" w:hAnsi="Times New Roman"/>
          <w:sz w:val="14"/>
          <w:szCs w:val="14"/>
          <w:color w:val="auto"/>
        </w:rPr>
        <w:t>See</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b w:val="1"/>
          <w:bCs w:val="1"/>
          <w:color w:val="auto"/>
        </w:rPr>
        <w:t>Note 7 — “Debt”</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for details of debt arrangements.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Net of unamortized issuance costs and original issue discount.</w:t>
      </w:r>
    </w:p>
    <w:p>
      <w:pPr>
        <w:spacing w:after="0" w:line="20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Company has a senior unsecured revolving credit facility of up to $250 million that matures on July 16, 2028 (the “WTM Credit Facility”). As of March 31, 2026, the WTM Credit Facility is undrawn.</w:t>
      </w:r>
    </w:p>
    <w:p>
      <w:pPr>
        <w:spacing w:after="0" w:line="250" w:lineRule="auto"/>
        <w:rPr>
          <w:sz w:val="20"/>
          <w:szCs w:val="20"/>
          <w:color w:val="auto"/>
        </w:rPr>
      </w:pPr>
      <w:r>
        <w:rPr>
          <w:rFonts w:ascii="Times New Roman" w:cs="Times New Roman" w:eastAsia="Times New Roman" w:hAnsi="Times New Roman"/>
          <w:sz w:val="18"/>
          <w:szCs w:val="18"/>
          <w:color w:val="auto"/>
        </w:rPr>
        <w:t>Management believes that White Mountains has the flexibility and capacity to obtain funds externally through debt or equity financing on both a short-term and long-term basis. However, White Mountains can provide no assurance that, if needed, it would be able to obtain additional debt or equity financing on satisfactory terms, if at all.</w:t>
      </w:r>
    </w:p>
    <w:p>
      <w:pPr>
        <w:spacing w:after="0" w:line="1"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color w:val="auto"/>
        </w:rPr>
        <w:t>It is possible that the existing ratings for one or more of White Mountains’s subsidiaries may be lowered in the future, which could result in higher borrowing costs and impact White Mountains’s ability to access the capital markets.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Compliance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White Mountains was in compliance in all material respects with all of the covenants under its debt instruments.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Programs</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Board of Directors has authorized the Company to repurchase its common shares from time to time, subject to market conditions. Shares may be repurchased on the open market or through privately negotiated transactions. The repurchase authorizations do not have a stated expiration date. As of March 31, 2026, White Mountains may repurchase an additional 261,201 shares under these Board authorizations. In addition, from time to time, White Mountains has also repurchased its common shares through self-tender offers that were separately authorized by its Board of Directors.</w:t>
      </w:r>
    </w:p>
    <w:p>
      <w:pPr>
        <w:spacing w:after="0" w:line="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2026, White Mountains repurchased and retired 12,622 of its common shares for $26 million at an average share price of $2,057, which was approximately 95% of White Mountains’s book value per share as of March 31, 2026. Of the shares White Mountains repurchased in the three months ended March 31, 2026, 4,229 were to satisfy employee income tax withholding pursuant to employee benefit plans, which do not reduce the amount available under the Board repurchase authorizations.</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2025, White Mountains repurchased and retired 5,097 of its common shares for $10 million at an average share price of $1,945, which was approximately 111% of White Mountains’s book value per share as of March 31, 2025. All of the shares White Mountains repurchased in the first three months of 2025 were to satisfy employee income tax withholding pursuant to employee benefit plans, which do not reduce the amount available under the Board repurchase authorizations.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5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Detailed information concerning White Mountains’s cash flows from continuing operations during the three months ended March 31, 2026 and 2025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operations for the three months ended March 31, 2026 and March 31, 2025</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Net cash provided from operations was $31 million for the three months ended March 31, 2026 compared to net cash used for operations of $40 million for the three months ended March 31, 2025. The increase in cash provided from operations was driven primarily by an increase in cash provided from operations at Ark/WM Outrigger Re and lower deployments at Kudu, partially offset by cash used for operations at Distinguished. As of March 31, 2026, the Company and its intermediate holding companies had $724 million of net unrestricted cash, short-term investments and fixed maturity investments, $166 million of MediaAlpha common stock, $147 million of common equity securities and $329 million of private equity funds, hedge funds, ILS funds and certain unconsolidated entities.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and financing activities for the three months ended March 31, 2026</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and Other Capital Activities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declared and paid a $2 million cash dividend to its common shareholders.</w:t>
      </w:r>
    </w:p>
    <w:p>
      <w:pPr>
        <w:spacing w:after="0" w:line="9"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2026, White Mountains repurchased and retired 12,622 of its common shares for $26 million, of which 4,229 were to satisfy employee income tax withholding pursuant to employee benefit plans.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Kudu repurchased $19 million of management equity incentives.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and financing activities for the three months ended March 31, 2025</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and Other Capital Activities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2025, the Company declared and paid a $3 million cash dividend to its common shareholders.</w:t>
      </w:r>
    </w:p>
    <w:p>
      <w:pPr>
        <w:spacing w:after="0" w:line="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2025, White Mountains repurchased and retired 5,097 of its common shares for $10 million, all of which were to satisfy employee income tax withholding pursuant to employee benefit plans.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2025, Kudu borrowed $8 million in term loans under the Kudu Credit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three months ended March 31, 2025, Kudu repurchased $15 million of management equity incentives.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three months ended March 31, 2025, Bamboo borrowed $110 million in term loans under the Bamboo Credit Facility.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includes eight non-GAAP financial measures that have been reconciled from their most comparable GAAP financial measures.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Ark’s tangible book value and tangible capital</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Ark’s tangible book value is a non-GAAP financial measure derived by adjusting GAAP book value to exclude goodwill, other intangible assets, the related deferred tax liability and the contingent consideration liability. The contingent consideration liability represents the estimated fair value of the additional shares that could be earned by management rollover shareholders if and to the extent that White Mountains achieves certain MOIC return thresholds. If earned, these additional shares would result in a reallocation of economics among Ark’s shareholders, which is reflected in the fair value of the contingent consideration liability recorded by White Mountains, but would have no impact on Ark’s stand-alone book value or tangible book value. Ark’s tangible capital is a non-GAAP financial measure derived by adding debt to tangible book value. White Mountains believes that these non-GAAP financial measures are useful to management and investors in evaluating Ark’s enterprise value. See page 55 for the reconciliation of Ark’s GAAP equity to tangible book value and tangible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Kudu’s EBITDA and adjusted EBITDA</w:t>
      </w:r>
    </w:p>
    <w:p>
      <w:pPr>
        <w:spacing w:after="0" w:line="3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Kudu's EBITDA and adjusted EBITDA are non-GAAP financial measures. EBITDA is a non-GAAP financial measure that adds back interest expense on debt, income tax (expense) benefit, depreciation and amortization of other intangible assets to GAAP net income (loss). Adjusted EBITDA is a non-GAAP financial measure that excludes certain other items in GAAP net income (loss) in addition to those added back to calculate EBITDA. The items relate to (i) net realized and unrealized investment gains (losses) on Kudu's Participation Contracts and (ii) transaction expenses. A description of each item follows:</w:t>
      </w:r>
    </w:p>
    <w:p>
      <w:pPr>
        <w:spacing w:after="0" w:line="2" w:lineRule="exact"/>
        <w:rPr>
          <w:sz w:val="20"/>
          <w:szCs w:val="20"/>
          <w:color w:val="auto"/>
        </w:rPr>
      </w:pPr>
    </w:p>
    <w:p>
      <w:pPr>
        <w:ind w:left="660" w:hanging="328"/>
        <w:spacing w:after="0" w:line="250"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realized and unrealized investment gains (losses) </w:t>
      </w:r>
      <w:r>
        <w:rPr>
          <w:rFonts w:ascii="Times New Roman" w:cs="Times New Roman" w:eastAsia="Times New Roman" w:hAnsi="Times New Roman"/>
          <w:sz w:val="18"/>
          <w:szCs w:val="18"/>
          <w:color w:val="auto"/>
        </w:rPr>
        <w:t>- Represents net unrealized investment gains and losses on Kudu’s Participation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recorded at fair value under GAAP, and realized investment gains and losses recorded on Kudu’s Participation Contracts sold during the period.</w:t>
      </w:r>
    </w:p>
    <w:p>
      <w:pPr>
        <w:spacing w:after="0" w:line="1" w:lineRule="exact"/>
        <w:rPr>
          <w:rFonts w:ascii="Times New Roman" w:cs="Times New Roman" w:eastAsia="Times New Roman" w:hAnsi="Times New Roman"/>
          <w:sz w:val="18"/>
          <w:szCs w:val="18"/>
          <w:color w:val="auto"/>
        </w:rPr>
      </w:pPr>
    </w:p>
    <w:p>
      <w:pPr>
        <w:ind w:left="660" w:right="200" w:hanging="328"/>
        <w:spacing w:after="0" w:line="260"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Transaction expenses </w:t>
      </w:r>
      <w:r>
        <w:rPr>
          <w:rFonts w:ascii="Times New Roman" w:cs="Times New Roman" w:eastAsia="Times New Roman" w:hAnsi="Times New Roman"/>
          <w:sz w:val="18"/>
          <w:szCs w:val="18"/>
          <w:color w:val="auto"/>
        </w:rPr>
        <w:t>- Represents costs directly related to Kudu’s mergers and acquisitions activity, such as external lawyer, banker, consulting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placement agent fees, which are not capitalized and are expensed under GAAP.</w:t>
      </w:r>
    </w:p>
    <w:p>
      <w:pPr>
        <w:spacing w:after="0" w:line="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White Mountains believes that these non-GAAP financial measures are useful to management and investors in evaluating Kudu’s performance. See page 57 for the reconciliation of Kudu’s GAAP net income (loss) to EBITDA and adjusted EBITDA.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Distinguished’s ScaleCo net income (loss), ScaleCo EBITDA and ScaleCo adjusted EBITDA</w:t>
      </w:r>
    </w:p>
    <w:p>
      <w:pPr>
        <w:spacing w:after="0" w:line="3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Distinguished’s ScaleCo net income (loss), ScaleCo EBITDA and ScaleCo adjusted EBITDA are non-GAAP financial measures. ScaleCo net income (loss) is a non-GAAP financial measure that excludes the results of the GrowthCo vertical, which is consolidated under GAAP, from Distinguished’s net income (loss). ScaleCo EBITDA is a non-GAAP financial measure that adds back interest expense on debt, income tax (expense) benefit, depreciation and amortization of other intangible assets to ScaleCo net income (loss). ScaleCo adjusted EBITDA is a non-GAAP financial measure that excludes certain other items in GAAP net income (loss) in addition to those items added back to calculate ScaleCo EBITDA. The items relate to (i) non-cash equity-based compensation expense and (ii) restructuring expenses. A description of each item follows:</w:t>
      </w:r>
    </w:p>
    <w:p>
      <w:pPr>
        <w:spacing w:after="0" w:line="1" w:lineRule="exact"/>
        <w:rPr>
          <w:sz w:val="20"/>
          <w:szCs w:val="20"/>
          <w:color w:val="auto"/>
        </w:rPr>
      </w:pPr>
    </w:p>
    <w:p>
      <w:pPr>
        <w:ind w:left="660" w:right="440" w:hanging="328"/>
        <w:spacing w:after="0" w:line="241"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Non-cash equity-based compensation expense </w:t>
      </w:r>
      <w:r>
        <w:rPr>
          <w:rFonts w:ascii="Times New Roman" w:cs="Times New Roman" w:eastAsia="Times New Roman" w:hAnsi="Times New Roman"/>
          <w:sz w:val="18"/>
          <w:szCs w:val="18"/>
          <w:color w:val="auto"/>
        </w:rPr>
        <w:t>- Represents non-cash expenses related to Distinguished’s management compensation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settled with equity units in Distinguished.</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i w:val="1"/>
          <w:iCs w:val="1"/>
          <w:color w:val="auto"/>
        </w:rPr>
        <w:t xml:space="preserve">Restructuring expenses </w:t>
      </w:r>
      <w:r>
        <w:rPr>
          <w:rFonts w:ascii="Times New Roman" w:cs="Times New Roman" w:eastAsia="Times New Roman" w:hAnsi="Times New Roman"/>
          <w:sz w:val="18"/>
          <w:szCs w:val="18"/>
          <w:color w:val="auto"/>
        </w:rPr>
        <w:t>- Represents costs directly related to Distinguished’s corporate restructuring and capital planning activities.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White Mountains believes that these non-GAAP financial measures are useful to management and investors in evaluating Distinguished’s performance. White Mountains also believes that excluding the results of the GrowthCo vertical, which Distinguished views as an investment in start-up programs, is useful to understanding the performance of Distinguished’s established programs. See page 62 for the reconciliation of Distinguished’s consolidated GAAP net income (loss) to ScaleCo net income (loss), ScaleCo EBITDA and ScaleCo adjusted EBITDA.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consolidated portfolio return excluding MediaAlpha</w:t>
      </w:r>
    </w:p>
    <w:p>
      <w:pPr>
        <w:spacing w:after="0" w:line="3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Total consolidated portfolio return excluding MediaAlpha is a non-GAAP financial measure that removes the net investment income and net realized and unrealized investment gains (losses) from White Mountains’s investment in MediaAlpha. White Mountains believes this measure to be useful to management and investors by showing the underlying performance of White Mountains’s investment portfolio without regard to White Mountains’s investment in MediaAlpha.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return reconciliations from GAAP to the reported percentages 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83185</wp:posOffset>
            </wp:positionV>
            <wp:extent cx="52806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80660" cy="8890"/>
                    </a:xfrm>
                    <a:prstGeom prst="rect">
                      <a:avLst/>
                    </a:prstGeom>
                    <a:noFill/>
                  </pic:spPr>
                </pic:pic>
              </a:graphicData>
            </a:graphic>
          </wp:anchor>
        </w:drawing>
      </w:r>
    </w:p>
    <w:p>
      <w:pPr>
        <w:spacing w:after="0" w:line="11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1460" w:type="dxa"/>
        <w:tblCellMar>
          <w:top w:w="0" w:type="dxa"/>
          <w:left w:w="0" w:type="dxa"/>
          <w:bottom w:w="0" w:type="dxa"/>
          <w:right w:w="0" w:type="dxa"/>
        </w:tblCellMar>
      </w:tblPr>
      <w:tr>
        <w:trPr>
          <w:trHeight w:val="228"/>
        </w:trPr>
        <w:tc>
          <w:tcPr>
            <w:tcW w:w="5200" w:type="dxa"/>
            <w:vAlign w:val="bottom"/>
            <w:gridSpan w:val="2"/>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6"/>
        </w:trPr>
        <w:tc>
          <w:tcPr>
            <w:tcW w:w="5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consolidated portfolio return</w:t>
            </w: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0.2 %</w:t>
            </w:r>
          </w:p>
        </w:tc>
        <w:tc>
          <w:tcPr>
            <w:tcW w:w="100" w:type="dxa"/>
            <w:vAlign w:val="bottom"/>
          </w:tcPr>
          <w:p>
            <w:pPr>
              <w:spacing w:after="0"/>
              <w:rPr>
                <w:sz w:val="18"/>
                <w:szCs w:val="18"/>
                <w:color w:val="auto"/>
              </w:rPr>
            </w:pPr>
          </w:p>
        </w:tc>
        <w:tc>
          <w:tcPr>
            <w:tcW w:w="150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w w:val="99"/>
              </w:rPr>
              <w:t>1.7 %</w:t>
            </w:r>
          </w:p>
        </w:tc>
      </w:tr>
      <w:tr>
        <w:trPr>
          <w:trHeight w:val="238"/>
        </w:trPr>
        <w:tc>
          <w:tcPr>
            <w:tcW w:w="6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Remove MediaAlpha</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tcPr>
          <w:p>
            <w:pPr>
              <w:spacing w:after="0"/>
              <w:rPr>
                <w:sz w:val="20"/>
                <w:szCs w:val="20"/>
                <w:color w:val="auto"/>
              </w:rPr>
            </w:pPr>
          </w:p>
        </w:tc>
        <w:tc>
          <w:tcPr>
            <w:tcW w:w="15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52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Total consolidated portfolio return excluding MediaAlpha</w:t>
            </w:r>
          </w:p>
        </w:tc>
        <w:tc>
          <w:tcPr>
            <w:tcW w:w="9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1.0 %</w:t>
            </w:r>
          </w:p>
        </w:tc>
        <w:tc>
          <w:tcPr>
            <w:tcW w:w="100" w:type="dxa"/>
            <w:vAlign w:val="bottom"/>
            <w:tcBorders>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w w:val="99"/>
              </w:rPr>
              <w:t>2.3 %</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Company’s 2025 Annual Report on Form 10-K for a complete discussion regarding White Mountains’s critical accounting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This report may contain “forward-looking statements” within the meaning of Section 27A of the Securities Act of 1933 and Section 21E of the Securities Exchange Act of 1934. All statements, other than statements of historical facts, included or referenced in this report which address activities, events or developments which White Mountains expects or anticipates will or may occur in the future are forward-looking statements. The words “may,” “could,” “will,” “believe,” “intend,” “expect,” “anticipate,” “project,” “estimate,” “predict” and similar expressions are also intended to identify forward-looking statements. These forward-looking statements include, among others, statements with respect to White Mountains’s:</w:t>
      </w:r>
    </w:p>
    <w:p>
      <w:pPr>
        <w:spacing w:after="0" w:line="210" w:lineRule="exact"/>
        <w:rPr>
          <w:sz w:val="20"/>
          <w:szCs w:val="20"/>
          <w:color w:val="auto"/>
        </w:rPr>
      </w:pPr>
    </w:p>
    <w:p>
      <w:pPr>
        <w:ind w:left="820" w:hanging="164"/>
        <w:spacing w:after="0"/>
        <w:tabs>
          <w:tab w:leader="none" w:pos="8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book value per share or return on equity;</w:t>
      </w:r>
    </w:p>
    <w:p>
      <w:pPr>
        <w:spacing w:after="0" w:line="15"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strategy;</w:t>
      </w:r>
    </w:p>
    <w:p>
      <w:pPr>
        <w:spacing w:after="0" w:line="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operating targets or plans;</w:t>
      </w:r>
    </w:p>
    <w:p>
      <w:pPr>
        <w:spacing w:after="0" w:line="9"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loss and LAE and the adequacy of its loss and LAE reserves and related reinsurance;</w:t>
      </w:r>
    </w:p>
    <w:p>
      <w:pPr>
        <w:spacing w:after="0" w:line="9" w:lineRule="exact"/>
        <w:rPr>
          <w:rFonts w:ascii="Times New Roman" w:cs="Times New Roman" w:eastAsia="Times New Roman" w:hAnsi="Times New Roman"/>
          <w:sz w:val="18"/>
          <w:szCs w:val="18"/>
          <w:color w:val="auto"/>
        </w:rPr>
      </w:pPr>
    </w:p>
    <w:p>
      <w:pPr>
        <w:ind w:left="820" w:right="220" w:hanging="164"/>
        <w:spacing w:after="0" w:line="243" w:lineRule="auto"/>
        <w:tabs>
          <w:tab w:leader="none" w:pos="8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revenues, income (or loss), earnings (or loss) per share, EBITDA, adjusted EBITDA, dividends, market share or other financial forecasts of White Mountains or its businesses;</w:t>
      </w:r>
    </w:p>
    <w:p>
      <w:pPr>
        <w:spacing w:after="0" w:line="1"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growth of its business and operations; and</w:t>
      </w:r>
    </w:p>
    <w:p>
      <w:pPr>
        <w:spacing w:after="0" w:line="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expenditures.</w:t>
      </w:r>
    </w:p>
    <w:p>
      <w:pPr>
        <w:spacing w:after="0" w:line="23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These statements are based on certain assumptions and analyses made by White Mountains in light of its experience and perception of historical trends, current conditions and expected future developments, as well as other factors believed to be appropriate in the circumstances. However, whether actual results and developments will conform to its expectations and predictions is subject to risks and uncertainties that could cause actual results to differ materially from expectations, including:</w:t>
      </w:r>
    </w:p>
    <w:p>
      <w:pPr>
        <w:spacing w:after="0" w:line="207" w:lineRule="exact"/>
        <w:rPr>
          <w:sz w:val="20"/>
          <w:szCs w:val="20"/>
          <w:color w:val="auto"/>
        </w:rPr>
      </w:pPr>
    </w:p>
    <w:p>
      <w:pPr>
        <w:ind w:left="820" w:right="380" w:hanging="164"/>
        <w:spacing w:after="0" w:line="261" w:lineRule="auto"/>
        <w:tabs>
          <w:tab w:leader="none" w:pos="8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that are described from time to time in White Mountains’s filings with the Securities and Exchange Commission, including but not limited to White Mountains’s 2025 Annual Report on Form 10-K;</w:t>
      </w:r>
    </w:p>
    <w:p>
      <w:pPr>
        <w:ind w:left="820" w:right="340" w:hanging="164"/>
        <w:spacing w:after="0" w:line="235" w:lineRule="auto"/>
        <w:tabs>
          <w:tab w:leader="none" w:pos="8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arising from catastrophic events, such as hurricanes, windstorms, earthquakes, floods, wildfires, tornadoes, tsunamis, severe weather, public health crises, terrorist attacks, war and war-like actions, explosions, infrastructure failures or cyber attacks;</w:t>
      </w:r>
    </w:p>
    <w:p>
      <w:pPr>
        <w:spacing w:after="0" w:line="1"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loss reserves subsequently proving to have been inadequate;</w:t>
      </w:r>
    </w:p>
    <w:p>
      <w:pPr>
        <w:spacing w:after="0" w:line="7" w:lineRule="exact"/>
        <w:rPr>
          <w:rFonts w:ascii="Times New Roman" w:cs="Times New Roman" w:eastAsia="Times New Roman" w:hAnsi="Times New Roman"/>
          <w:sz w:val="18"/>
          <w:szCs w:val="18"/>
          <w:color w:val="auto"/>
        </w:rPr>
      </w:pPr>
    </w:p>
    <w:p>
      <w:pPr>
        <w:ind w:left="820" w:hanging="164"/>
        <w:spacing w:after="0" w:line="236" w:lineRule="auto"/>
        <w:tabs>
          <w:tab w:leader="none" w:pos="8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White Mountains’s investment in MediaAlpha;</w:t>
      </w:r>
    </w:p>
    <w:p>
      <w:pPr>
        <w:ind w:left="820" w:hanging="164"/>
        <w:spacing w:after="0" w:line="234" w:lineRule="auto"/>
        <w:tabs>
          <w:tab w:leader="none" w:pos="8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opportunities (or lack thereof) that may be presented to it and pursued;</w:t>
      </w:r>
    </w:p>
    <w:p>
      <w:pPr>
        <w:ind w:left="820" w:hanging="164"/>
        <w:spacing w:after="0"/>
        <w:tabs>
          <w:tab w:leader="none" w:pos="8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rating agencies, such as financial strength or credit ratings downgrades or placing ratings on negative watch;</w:t>
      </w:r>
    </w:p>
    <w:p>
      <w:pPr>
        <w:spacing w:after="0" w:line="7" w:lineRule="exact"/>
        <w:rPr>
          <w:rFonts w:ascii="Times New Roman" w:cs="Times New Roman" w:eastAsia="Times New Roman" w:hAnsi="Times New Roman"/>
          <w:sz w:val="18"/>
          <w:szCs w:val="18"/>
          <w:color w:val="auto"/>
        </w:rPr>
      </w:pPr>
    </w:p>
    <w:p>
      <w:pPr>
        <w:ind w:left="820" w:hanging="164"/>
        <w:spacing w:after="0" w:line="236" w:lineRule="auto"/>
        <w:tabs>
          <w:tab w:leader="none" w:pos="8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availability of capital and financing;</w:t>
      </w:r>
    </w:p>
    <w:p>
      <w:pPr>
        <w:ind w:left="820" w:hanging="164"/>
        <w:spacing w:after="0" w:line="234" w:lineRule="auto"/>
        <w:tabs>
          <w:tab w:leader="none" w:pos="8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availability of fronting and reinsurance capacity;</w:t>
      </w:r>
    </w:p>
    <w:p>
      <w:pPr>
        <w:ind w:left="820" w:hanging="164"/>
        <w:spacing w:after="0" w:line="249" w:lineRule="auto"/>
        <w:tabs>
          <w:tab w:leader="none" w:pos="8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general economic, market or business conditions, including due to outbreaks of contagious disease and corresponding mitigation efforts;</w:t>
      </w:r>
    </w:p>
    <w:p>
      <w:pPr>
        <w:ind w:left="800" w:hanging="144"/>
        <w:spacing w:after="0" w:line="225" w:lineRule="auto"/>
        <w:tabs>
          <w:tab w:leader="none" w:pos="8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competitive forces, including the conduct of other insurers;</w:t>
      </w:r>
    </w:p>
    <w:p>
      <w:pPr>
        <w:spacing w:after="0" w:line="2" w:lineRule="exact"/>
        <w:rPr>
          <w:rFonts w:ascii="Times New Roman" w:cs="Times New Roman" w:eastAsia="Times New Roman" w:hAnsi="Times New Roman"/>
          <w:sz w:val="20"/>
          <w:szCs w:val="20"/>
          <w:color w:val="auto"/>
        </w:rPr>
      </w:pPr>
    </w:p>
    <w:p>
      <w:pPr>
        <w:ind w:left="820" w:hanging="164"/>
        <w:spacing w:after="0" w:line="234" w:lineRule="auto"/>
        <w:tabs>
          <w:tab w:leader="none" w:pos="8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or foreign laws or regulations, or their interpretation, applicable to White Mountains, its competitors or its customers; and</w:t>
      </w:r>
    </w:p>
    <w:p>
      <w:pPr>
        <w:ind w:left="820" w:hanging="164"/>
        <w:spacing w:after="0"/>
        <w:tabs>
          <w:tab w:leader="none" w:pos="8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most of which are beyond White Mountains’s control.</w:t>
      </w:r>
    </w:p>
    <w:p>
      <w:pPr>
        <w:spacing w:after="0" w:line="2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Consequently, all of the forward-looking statements made in this report are qualified by these cautionary statements, and there can be no assurance that the actual results or developments anticipated by White Mountains will be realized or, even if substantially realized, that they will have the expected consequences to, or effects on, White Mountains or its business or operations. White Mountains assumes no obligation to publicly update any such forward-looking statements, whether as a result of new information, future events or otherwise.</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 xml:space="preserve">Refer to White Mountains’s 2025 Annual Report on Form 10-K and in particular </w:t>
      </w:r>
      <w:r>
        <w:rPr>
          <w:rFonts w:ascii="Times New Roman" w:cs="Times New Roman" w:eastAsia="Times New Roman" w:hAnsi="Times New Roman"/>
          <w:sz w:val="18"/>
          <w:szCs w:val="18"/>
          <w:b w:val="1"/>
          <w:bCs w:val="1"/>
          <w:color w:val="auto"/>
        </w:rPr>
        <w:t>Item 7A. - “Quantitative and Qualitative Disclosures About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Risk.”</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4" w:name="page75"/>
    <w:bookmarkEnd w:id="7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Principal Executive Officer (“PEO”) and the Principal Financial Officer (“PFO”) of White Mountains have evaluated the effectiveness of its disclosure controls and procedures (as defined in Rule 13a-15(e) of the Exchange Act) as of March 31, 2026. Based on that evaluation, the PEO and PFO have concluded that White Mountains’s disclosure controls and procedures are adequate and effective.</w:t>
      </w:r>
    </w:p>
    <w:p>
      <w:pPr>
        <w:spacing w:after="0" w:line="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There were no changes to White Mountains’s internal control over financial reporting that occurred during the first quarter of 2026 that have materially affected, or are reasonably likely to materially affect, White Mountains’s internal control over financial reporting.</w:t>
      </w:r>
    </w:p>
    <w:p>
      <w:pPr>
        <w:spacing w:after="0" w:line="20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any of the risk factors previously disclosed in the Registrant’s 2025 Annual Report on Form 10-K.</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Issuer Purchases of Equity Securities.</w:t>
      </w:r>
    </w:p>
    <w:p>
      <w:pPr>
        <w:spacing w:after="0" w:line="376" w:lineRule="exact"/>
        <w:rPr>
          <w:sz w:val="20"/>
          <w:szCs w:val="20"/>
          <w:color w:val="auto"/>
        </w:rPr>
      </w:pPr>
    </w:p>
    <w:tbl>
      <w:tblPr>
        <w:tblLayout w:type="fixed"/>
        <w:tblInd w:w="1040" w:type="dxa"/>
        <w:tblCellMar>
          <w:top w:w="0" w:type="dxa"/>
          <w:left w:w="0" w:type="dxa"/>
          <w:bottom w:w="0" w:type="dxa"/>
          <w:right w:w="0" w:type="dxa"/>
        </w:tblCellMar>
      </w:tblPr>
      <w:tr>
        <w:trPr>
          <w:trHeight w:val="148"/>
        </w:trPr>
        <w:tc>
          <w:tcPr>
            <w:tcW w:w="2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37"/>
        </w:trPr>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20" w:type="dxa"/>
            <w:vAlign w:val="bottom"/>
          </w:tcPr>
          <w:p>
            <w:pPr>
              <w:spacing w:after="0"/>
              <w:rPr>
                <w:sz w:val="11"/>
                <w:szCs w:val="11"/>
                <w:color w:val="auto"/>
              </w:rPr>
            </w:pPr>
          </w:p>
        </w:tc>
        <w:tc>
          <w:tcPr>
            <w:tcW w:w="17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60"/>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40" w:type="dxa"/>
            <w:vAlign w:val="bottom"/>
            <w:vMerge w:val="restart"/>
          </w:tcPr>
          <w:p>
            <w:pPr>
              <w:spacing w:after="0"/>
              <w:rPr>
                <w:sz w:val="13"/>
                <w:szCs w:val="13"/>
                <w:color w:val="auto"/>
              </w:rPr>
            </w:pPr>
          </w:p>
        </w:tc>
        <w:tc>
          <w:tcPr>
            <w:tcW w:w="1440" w:type="dxa"/>
            <w:vAlign w:val="bottom"/>
          </w:tcPr>
          <w:p>
            <w:pPr>
              <w:jc w:val="right"/>
              <w:ind w:right="136"/>
              <w:spacing w:after="0" w:line="160"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20" w:type="dxa"/>
            <w:vAlign w:val="bottom"/>
          </w:tcPr>
          <w:p>
            <w:pPr>
              <w:spacing w:after="0"/>
              <w:rPr>
                <w:sz w:val="13"/>
                <w:szCs w:val="13"/>
                <w:color w:val="auto"/>
              </w:rPr>
            </w:pPr>
          </w:p>
        </w:tc>
        <w:tc>
          <w:tcPr>
            <w:tcW w:w="1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Yet Be Purchased</w:t>
            </w:r>
          </w:p>
        </w:tc>
        <w:tc>
          <w:tcPr>
            <w:tcW w:w="0" w:type="dxa"/>
            <w:vAlign w:val="bottom"/>
          </w:tcPr>
          <w:p>
            <w:pPr>
              <w:spacing w:after="0"/>
              <w:rPr>
                <w:sz w:val="1"/>
                <w:szCs w:val="1"/>
                <w:color w:val="auto"/>
              </w:rPr>
            </w:pPr>
          </w:p>
        </w:tc>
      </w:tr>
      <w:tr>
        <w:trPr>
          <w:trHeight w:val="203"/>
        </w:trPr>
        <w:tc>
          <w:tcPr>
            <w:tcW w:w="240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4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40" w:type="dxa"/>
            <w:vAlign w:val="bottom"/>
          </w:tcPr>
          <w:p>
            <w:pPr>
              <w:spacing w:after="0"/>
              <w:rPr>
                <w:sz w:val="17"/>
                <w:szCs w:val="17"/>
                <w:color w:val="auto"/>
              </w:rPr>
            </w:pPr>
          </w:p>
        </w:tc>
        <w:tc>
          <w:tcPr>
            <w:tcW w:w="170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Announced Plans </w:t>
            </w:r>
            <w:r>
              <w:rPr>
                <w:rFonts w:ascii="Times New Roman" w:cs="Times New Roman" w:eastAsia="Times New Roman" w:hAnsi="Times New Roman"/>
                <w:sz w:val="18"/>
                <w:szCs w:val="18"/>
                <w:b w:val="1"/>
                <w:bCs w:val="1"/>
                <w:color w:val="auto"/>
                <w:w w:val="99"/>
                <w:vertAlign w:val="superscript"/>
              </w:rPr>
              <w:t>(2)</w:t>
            </w:r>
          </w:p>
        </w:tc>
        <w:tc>
          <w:tcPr>
            <w:tcW w:w="120" w:type="dxa"/>
            <w:vAlign w:val="bottom"/>
          </w:tcPr>
          <w:p>
            <w:pPr>
              <w:spacing w:after="0"/>
              <w:rPr>
                <w:sz w:val="17"/>
                <w:szCs w:val="17"/>
                <w:color w:val="auto"/>
              </w:rPr>
            </w:pPr>
          </w:p>
        </w:tc>
        <w:tc>
          <w:tcPr>
            <w:tcW w:w="170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Under the Plans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5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January 1 - January 31, 2026 </w:t>
            </w:r>
            <w:r>
              <w:rPr>
                <w:rFonts w:ascii="Times New Roman" w:cs="Times New Roman" w:eastAsia="Times New Roman" w:hAnsi="Times New Roman"/>
                <w:sz w:val="9"/>
                <w:szCs w:val="9"/>
                <w:color w:val="auto"/>
              </w:rPr>
              <w:t>(1)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11,445</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2,058.11</w:t>
            </w:r>
          </w:p>
        </w:tc>
        <w:tc>
          <w:tcPr>
            <w:tcW w:w="140" w:type="dxa"/>
            <w:vAlign w:val="bottom"/>
          </w:tcPr>
          <w:p>
            <w:pPr>
              <w:spacing w:after="0"/>
              <w:rPr>
                <w:sz w:val="21"/>
                <w:szCs w:val="21"/>
                <w:color w:val="auto"/>
              </w:rPr>
            </w:pP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7,216</w:t>
            </w:r>
          </w:p>
        </w:tc>
        <w:tc>
          <w:tcPr>
            <w:tcW w:w="18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262,378</w:t>
            </w:r>
          </w:p>
        </w:tc>
        <w:tc>
          <w:tcPr>
            <w:tcW w:w="0" w:type="dxa"/>
            <w:vAlign w:val="bottom"/>
          </w:tcPr>
          <w:p>
            <w:pPr>
              <w:spacing w:after="0"/>
              <w:rPr>
                <w:sz w:val="1"/>
                <w:szCs w:val="1"/>
                <w:color w:val="auto"/>
              </w:rPr>
            </w:pPr>
          </w:p>
        </w:tc>
      </w:tr>
      <w:tr>
        <w:trPr>
          <w:trHeight w:val="27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1 - February 28,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2,047.78</w:t>
            </w:r>
          </w:p>
        </w:tc>
        <w:tc>
          <w:tcPr>
            <w:tcW w:w="140" w:type="dxa"/>
            <w:vAlign w:val="bottom"/>
          </w:tcPr>
          <w:p>
            <w:pPr>
              <w:spacing w:after="0"/>
              <w:rPr>
                <w:sz w:val="23"/>
                <w:szCs w:val="23"/>
                <w:color w:val="auto"/>
              </w:rPr>
            </w:pP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1,177</w:t>
            </w:r>
          </w:p>
        </w:tc>
        <w:tc>
          <w:tcPr>
            <w:tcW w:w="18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261,201</w:t>
            </w:r>
          </w:p>
        </w:tc>
        <w:tc>
          <w:tcPr>
            <w:tcW w:w="0" w:type="dxa"/>
            <w:vAlign w:val="bottom"/>
          </w:tcPr>
          <w:p>
            <w:pPr>
              <w:spacing w:after="0"/>
              <w:rPr>
                <w:sz w:val="1"/>
                <w:szCs w:val="1"/>
                <w:color w:val="auto"/>
              </w:rPr>
            </w:pPr>
          </w:p>
        </w:tc>
      </w:tr>
      <w:tr>
        <w:trPr>
          <w:trHeight w:val="27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1 - March 31, 2026</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261,201</w:t>
            </w:r>
          </w:p>
        </w:tc>
        <w:tc>
          <w:tcPr>
            <w:tcW w:w="0" w:type="dxa"/>
            <w:vAlign w:val="bottom"/>
          </w:tcPr>
          <w:p>
            <w:pPr>
              <w:spacing w:after="0"/>
              <w:rPr>
                <w:sz w:val="1"/>
                <w:szCs w:val="1"/>
                <w:color w:val="auto"/>
              </w:rPr>
            </w:pPr>
          </w:p>
        </w:tc>
      </w:tr>
      <w:tr>
        <w:trPr>
          <w:trHeight w:val="223"/>
        </w:trPr>
        <w:tc>
          <w:tcPr>
            <w:tcW w:w="25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12,622</w:t>
            </w:r>
          </w:p>
        </w:tc>
        <w:tc>
          <w:tcPr>
            <w:tcW w:w="3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2,057.15</w:t>
            </w: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8,393</w:t>
            </w:r>
          </w:p>
        </w:tc>
        <w:tc>
          <w:tcPr>
            <w:tcW w:w="182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261,201</w:t>
            </w:r>
          </w:p>
        </w:tc>
        <w:tc>
          <w:tcPr>
            <w:tcW w:w="0" w:type="dxa"/>
            <w:vAlign w:val="bottom"/>
          </w:tcPr>
          <w:p>
            <w:pPr>
              <w:spacing w:after="0"/>
              <w:rPr>
                <w:sz w:val="1"/>
                <w:szCs w:val="1"/>
                <w:color w:val="auto"/>
              </w:rPr>
            </w:pPr>
          </w:p>
        </w:tc>
      </w:tr>
      <w:tr>
        <w:trPr>
          <w:trHeight w:val="20"/>
        </w:trPr>
        <w:tc>
          <w:tcPr>
            <w:tcW w:w="2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180" w:right="380" w:hanging="172"/>
        <w:spacing w:after="0" w:line="271" w:lineRule="auto"/>
        <w:tabs>
          <w:tab w:leader="none" w:pos="150" w:val="left"/>
        </w:tabs>
        <w:numPr>
          <w:ilvl w:val="0"/>
          <w:numId w:val="5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Of the shares White Mountains repurchased in January 2026, 4,229 were to satisfy employee income tax withholding pursuant to employee benefit plans, which do not reduce the amount available under the Board repurchase authorizations.</w:t>
      </w:r>
    </w:p>
    <w:p>
      <w:pPr>
        <w:ind w:left="180" w:hanging="172"/>
        <w:spacing w:after="0" w:line="228" w:lineRule="auto"/>
        <w:tabs>
          <w:tab w:leader="none" w:pos="150" w:val="left"/>
        </w:tabs>
        <w:numPr>
          <w:ilvl w:val="0"/>
          <w:numId w:val="5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White Mountains’s Board of Directors has authorized the Company to repurchase its common shares, from time to time, subject to market conditions. The repurchase authorizations do not have a stated expiration date.</w:t>
      </w:r>
    </w:p>
    <w:p>
      <w:pPr>
        <w:spacing w:after="0" w:line="232" w:lineRule="exact"/>
        <w:rPr>
          <w:sz w:val="20"/>
          <w:szCs w:val="20"/>
          <w:color w:val="auto"/>
        </w:rPr>
      </w:pPr>
    </w:p>
    <w:p>
      <w:pPr>
        <w:jc w:val="center"/>
        <w:ind w:right="81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jc w:val="center"/>
        <w:ind w:right="88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31"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The Company has policies and procedures governing the purchase, sale and/or other dispositions of our securities by directors, officers, employees or the Company itself that we believe are reasonably designed to promote compliance with insider trading laws, rules and regulations and the listing standards applicable to us. A copy of our Insider Trading Policy is filed as Exhibit 19 to our 2025 Annual Report on Form 10-K.</w:t>
      </w:r>
    </w:p>
    <w:p>
      <w:pPr>
        <w:spacing w:after="0" w:line="1" w:lineRule="exact"/>
        <w:rPr>
          <w:sz w:val="20"/>
          <w:szCs w:val="20"/>
          <w:color w:val="auto"/>
        </w:rPr>
      </w:pPr>
    </w:p>
    <w:p>
      <w:pPr>
        <w:ind w:right="760"/>
        <w:spacing w:after="0" w:line="260" w:lineRule="auto"/>
        <w:rPr>
          <w:sz w:val="20"/>
          <w:szCs w:val="20"/>
          <w:color w:val="auto"/>
        </w:rPr>
      </w:pPr>
      <w:r>
        <w:rPr>
          <w:rFonts w:ascii="Times New Roman" w:cs="Times New Roman" w:eastAsia="Times New Roman" w:hAnsi="Times New Roman"/>
          <w:sz w:val="18"/>
          <w:szCs w:val="18"/>
          <w:color w:val="auto"/>
        </w:rPr>
        <w:t>No trading plans were adopted or terminated during the first quarter of 2026 by a director or officer of the Company that is intended to satisfy the affirmative defense conditions of Securities Exchange Act Rule 10b5-1(c) or a non-Rule 10b5-1(c) trading agreement.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400" w:type="dxa"/>
            <w:vAlign w:val="bottom"/>
            <w:gridSpan w:val="2"/>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Exhibits</w:t>
            </w: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300" w:type="dxa"/>
            <w:vAlign w:val="bottom"/>
          </w:tcPr>
          <w:p>
            <w:pPr>
              <w:spacing w:after="0"/>
              <w:rPr>
                <w:sz w:val="19"/>
                <w:szCs w:val="19"/>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spacing w:after="0"/>
              <w:rPr>
                <w:sz w:val="19"/>
                <w:szCs w:val="19"/>
                <w:color w:val="auto"/>
              </w:rPr>
            </w:pPr>
          </w:p>
        </w:tc>
        <w:tc>
          <w:tcPr>
            <w:tcW w:w="8420" w:type="dxa"/>
            <w:vAlign w:val="bottom"/>
            <w:vMerge w:val="restart"/>
          </w:tcPr>
          <w:p>
            <w:pPr>
              <w:ind w:left="40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40" w:type="dxa"/>
            <w:vAlign w:val="bottom"/>
          </w:tcPr>
          <w:p>
            <w:pPr>
              <w:spacing w:after="0"/>
              <w:rPr>
                <w:sz w:val="16"/>
                <w:szCs w:val="16"/>
                <w:color w:val="auto"/>
              </w:rPr>
            </w:pPr>
          </w:p>
        </w:tc>
        <w:tc>
          <w:tcPr>
            <w:tcW w:w="8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rPr>
              <w:t>31.1</w:t>
            </w:r>
          </w:p>
        </w:tc>
        <w:tc>
          <w:tcPr>
            <w:tcW w:w="640" w:type="dxa"/>
            <w:vAlign w:val="bottom"/>
          </w:tcPr>
          <w:p>
            <w:pPr>
              <w:ind w:left="280"/>
              <w:spacing w:after="0" w:line="175" w:lineRule="exact"/>
              <w:rPr>
                <w:sz w:val="20"/>
                <w:szCs w:val="20"/>
                <w:color w:val="auto"/>
              </w:rPr>
            </w:pPr>
            <w:r>
              <w:rPr>
                <w:rFonts w:ascii="Times New Roman" w:cs="Times New Roman" w:eastAsia="Times New Roman" w:hAnsi="Times New Roman"/>
                <w:sz w:val="18"/>
                <w:szCs w:val="18"/>
                <w:color w:val="auto"/>
              </w:rPr>
              <w:t>—</w:t>
            </w:r>
          </w:p>
        </w:tc>
        <w:tc>
          <w:tcPr>
            <w:tcW w:w="842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Principal Executive Officer Certification Pursuant to Rule 13a-14 (a) of the Securities Exchange Act of 1934, as</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w:t>
            </w:r>
          </w:p>
        </w:tc>
        <w:tc>
          <w:tcPr>
            <w:tcW w:w="0" w:type="dxa"/>
            <w:vAlign w:val="bottom"/>
          </w:tcPr>
          <w:p>
            <w:pPr>
              <w:spacing w:after="0"/>
              <w:rPr>
                <w:sz w:val="1"/>
                <w:szCs w:val="1"/>
                <w:color w:val="auto"/>
              </w:rPr>
            </w:pPr>
          </w:p>
        </w:tc>
      </w:tr>
      <w:tr>
        <w:trPr>
          <w:trHeight w:val="184"/>
        </w:trPr>
        <w:tc>
          <w:tcPr>
            <w:tcW w:w="760" w:type="dxa"/>
            <w:vAlign w:val="bottom"/>
          </w:tcPr>
          <w:p>
            <w:pPr>
              <w:spacing w:after="0"/>
              <w:rPr>
                <w:sz w:val="16"/>
                <w:szCs w:val="16"/>
                <w:color w:val="auto"/>
              </w:rPr>
            </w:pPr>
          </w:p>
        </w:tc>
        <w:tc>
          <w:tcPr>
            <w:tcW w:w="140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color w:val="auto"/>
              </w:rPr>
              <w:t>31.2</w:t>
            </w:r>
          </w:p>
        </w:tc>
        <w:tc>
          <w:tcPr>
            <w:tcW w:w="9060" w:type="dxa"/>
            <w:vAlign w:val="bottom"/>
            <w:gridSpan w:val="2"/>
          </w:tcPr>
          <w:p>
            <w:pPr>
              <w:ind w:left="280"/>
              <w:spacing w:after="0" w:line="184" w:lineRule="exact"/>
              <w:rPr>
                <w:sz w:val="20"/>
                <w:szCs w:val="20"/>
                <w:color w:val="auto"/>
              </w:rPr>
            </w:pPr>
            <w:r>
              <w:rPr>
                <w:rFonts w:ascii="Times New Roman" w:cs="Times New Roman" w:eastAsia="Times New Roman" w:hAnsi="Times New Roman"/>
                <w:sz w:val="18"/>
                <w:szCs w:val="18"/>
                <w:color w:val="auto"/>
              </w:rPr>
              <w:t>—  Principal Financial Officer Certification Pursuant to Rule 13a-14 (a) of the Securities Exchange Act of 1934, as</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w:t>
            </w:r>
          </w:p>
        </w:tc>
        <w:tc>
          <w:tcPr>
            <w:tcW w:w="0" w:type="dxa"/>
            <w:vAlign w:val="bottom"/>
          </w:tcPr>
          <w:p>
            <w:pPr>
              <w:spacing w:after="0"/>
              <w:rPr>
                <w:sz w:val="1"/>
                <w:szCs w:val="1"/>
                <w:color w:val="auto"/>
              </w:rPr>
            </w:pPr>
          </w:p>
        </w:tc>
      </w:tr>
      <w:tr>
        <w:trPr>
          <w:trHeight w:val="184"/>
        </w:trPr>
        <w:tc>
          <w:tcPr>
            <w:tcW w:w="760" w:type="dxa"/>
            <w:vAlign w:val="bottom"/>
          </w:tcPr>
          <w:p>
            <w:pPr>
              <w:spacing w:after="0"/>
              <w:rPr>
                <w:sz w:val="16"/>
                <w:szCs w:val="16"/>
                <w:color w:val="auto"/>
              </w:rPr>
            </w:pPr>
          </w:p>
        </w:tc>
        <w:tc>
          <w:tcPr>
            <w:tcW w:w="140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color w:val="auto"/>
              </w:rPr>
              <w:t>32.1</w:t>
            </w:r>
          </w:p>
        </w:tc>
        <w:tc>
          <w:tcPr>
            <w:tcW w:w="9060" w:type="dxa"/>
            <w:vAlign w:val="bottom"/>
            <w:gridSpan w:val="2"/>
          </w:tcPr>
          <w:p>
            <w:pPr>
              <w:ind w:left="280"/>
              <w:spacing w:after="0" w:line="184" w:lineRule="exact"/>
              <w:rPr>
                <w:sz w:val="20"/>
                <w:szCs w:val="20"/>
                <w:color w:val="auto"/>
              </w:rPr>
            </w:pPr>
            <w:r>
              <w:rPr>
                <w:rFonts w:ascii="Times New Roman" w:cs="Times New Roman" w:eastAsia="Times New Roman" w:hAnsi="Times New Roman"/>
                <w:sz w:val="18"/>
                <w:szCs w:val="18"/>
                <w:color w:val="auto"/>
              </w:rPr>
              <w:t>—  Principal Executive Officer Certification Pursuant to 18 U.S.C. Section 1350, as Adopted Pursuant to Section 906</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the Sarbanes-Oxley Act of 2002. (*)</w:t>
            </w:r>
          </w:p>
        </w:tc>
        <w:tc>
          <w:tcPr>
            <w:tcW w:w="0" w:type="dxa"/>
            <w:vAlign w:val="bottom"/>
          </w:tcPr>
          <w:p>
            <w:pPr>
              <w:spacing w:after="0"/>
              <w:rPr>
                <w:sz w:val="1"/>
                <w:szCs w:val="1"/>
                <w:color w:val="auto"/>
              </w:rPr>
            </w:pPr>
          </w:p>
        </w:tc>
      </w:tr>
      <w:tr>
        <w:trPr>
          <w:trHeight w:val="184"/>
        </w:trPr>
        <w:tc>
          <w:tcPr>
            <w:tcW w:w="760" w:type="dxa"/>
            <w:vAlign w:val="bottom"/>
          </w:tcPr>
          <w:p>
            <w:pPr>
              <w:spacing w:after="0"/>
              <w:rPr>
                <w:sz w:val="16"/>
                <w:szCs w:val="16"/>
                <w:color w:val="auto"/>
              </w:rPr>
            </w:pPr>
          </w:p>
        </w:tc>
        <w:tc>
          <w:tcPr>
            <w:tcW w:w="140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color w:val="auto"/>
              </w:rPr>
              <w:t>32.2</w:t>
            </w:r>
          </w:p>
        </w:tc>
        <w:tc>
          <w:tcPr>
            <w:tcW w:w="9060" w:type="dxa"/>
            <w:vAlign w:val="bottom"/>
            <w:gridSpan w:val="2"/>
          </w:tcPr>
          <w:p>
            <w:pPr>
              <w:ind w:left="280"/>
              <w:spacing w:after="0" w:line="184" w:lineRule="exact"/>
              <w:rPr>
                <w:sz w:val="20"/>
                <w:szCs w:val="20"/>
                <w:color w:val="auto"/>
              </w:rPr>
            </w:pPr>
            <w:r>
              <w:rPr>
                <w:rFonts w:ascii="Times New Roman" w:cs="Times New Roman" w:eastAsia="Times New Roman" w:hAnsi="Times New Roman"/>
                <w:sz w:val="18"/>
                <w:szCs w:val="18"/>
                <w:color w:val="auto"/>
              </w:rPr>
              <w:t>—  Principal Financial Officer Certification Pursuant to 18 U.S.C. Section 1350, as Adopted Pursuant to Section 906 of</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Sarbanes-Oxley Act of 2002. (*)</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820" w:right="220" w:hanging="994"/>
        <w:spacing w:after="0" w:line="237" w:lineRule="auto"/>
        <w:tabs>
          <w:tab w:leader="none" w:pos="244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XBRL Instance Document - the instance document does not appear in the Interactive Data File because its XBRL tags are embedded within the Inline XBRL document.</w:t>
      </w:r>
    </w:p>
    <w:p>
      <w:pPr>
        <w:spacing w:after="0" w:line="131" w:lineRule="exact"/>
        <w:rPr>
          <w:rFonts w:ascii="Times New Roman" w:cs="Times New Roman" w:eastAsia="Times New Roman" w:hAnsi="Times New Roman"/>
          <w:sz w:val="18"/>
          <w:szCs w:val="18"/>
          <w:color w:val="auto"/>
        </w:rPr>
      </w:pPr>
    </w:p>
    <w:p>
      <w:pPr>
        <w:ind w:left="1180" w:hanging="239"/>
        <w:spacing w:after="0"/>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herein</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WHITE MOUNTAINS INSURANCE GROUP, LTD.</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306" w:lineRule="exact"/>
        <w:rPr>
          <w:sz w:val="20"/>
          <w:szCs w:val="20"/>
          <w:color w:val="auto"/>
        </w:rPr>
      </w:pPr>
    </w:p>
    <w:p>
      <w:pPr>
        <w:ind w:left="1040"/>
        <w:spacing w:after="0"/>
        <w:tabs>
          <w:tab w:leader="none" w:pos="1600" w:val="left"/>
          <w:tab w:leader="none" w:pos="6160" w:val="left"/>
        </w:tabs>
        <w:rPr>
          <w:sz w:val="20"/>
          <w:szCs w:val="20"/>
          <w:color w:val="auto"/>
        </w:rPr>
      </w:pPr>
      <w:r>
        <w:rPr>
          <w:rFonts w:ascii="Times New Roman" w:cs="Times New Roman" w:eastAsia="Times New Roman" w:hAnsi="Times New Roman"/>
          <w:sz w:val="18"/>
          <w:szCs w:val="18"/>
          <w:color w:val="auto"/>
        </w:rPr>
        <w:t>Date:</w:t>
        <w:tab/>
        <w:t>May 6, 2026</w:t>
      </w:r>
      <w:r>
        <w:rPr>
          <w:sz w:val="20"/>
          <w:szCs w:val="20"/>
          <w:color w:val="auto"/>
        </w:rPr>
        <w:tab/>
      </w: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9"/>
          <w:szCs w:val="19"/>
          <w:color w:val="auto"/>
        </w:rPr>
        <w:t>Michaela J. Hildreth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44450</wp:posOffset>
            </wp:positionV>
            <wp:extent cx="25888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7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Michaela J. Hildreth</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Managing Director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20"/>
          </w:cols>
          <w:pgMar w:left="320" w:top="887" w:right="35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 CERTIFICATION PURSUANT TO RULE 13a-14(a)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Liam P. Caffrey, Chief Executive Officer of White Mountains Insurance Group, Ltd., certify that:</w:t>
      </w:r>
    </w:p>
    <w:p>
      <w:pPr>
        <w:spacing w:after="0" w:line="252" w:lineRule="exact"/>
        <w:rPr>
          <w:sz w:val="20"/>
          <w:szCs w:val="20"/>
          <w:color w:val="auto"/>
        </w:rPr>
      </w:pPr>
    </w:p>
    <w:p>
      <w:pPr>
        <w:ind w:left="180" w:hanging="172"/>
        <w:spacing w:after="0"/>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ending March 31, 2026 of White Mountains Insurance Group, Ltd.;</w:t>
      </w:r>
    </w:p>
    <w:p>
      <w:pPr>
        <w:spacing w:after="0" w:line="252" w:lineRule="exact"/>
        <w:rPr>
          <w:rFonts w:ascii="Times New Roman" w:cs="Times New Roman" w:eastAsia="Times New Roman" w:hAnsi="Times New Roman"/>
          <w:sz w:val="18"/>
          <w:szCs w:val="18"/>
          <w:color w:val="auto"/>
        </w:rPr>
      </w:pPr>
    </w:p>
    <w:p>
      <w:pPr>
        <w:ind w:right="160" w:firstLine="8"/>
        <w:spacing w:after="0" w:line="266" w:lineRule="auto"/>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2" w:lineRule="exact"/>
        <w:rPr>
          <w:rFonts w:ascii="Times New Roman" w:cs="Times New Roman" w:eastAsia="Times New Roman" w:hAnsi="Times New Roman"/>
          <w:sz w:val="18"/>
          <w:szCs w:val="18"/>
          <w:color w:val="auto"/>
        </w:rPr>
      </w:pPr>
    </w:p>
    <w:p>
      <w:pPr>
        <w:ind w:left="1220" w:right="200" w:hanging="564"/>
        <w:spacing w:after="0" w:line="266" w:lineRule="auto"/>
        <w:tabs>
          <w:tab w:leader="none" w:pos="121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220" w:right="120" w:hanging="564"/>
        <w:spacing w:after="0" w:line="266" w:lineRule="auto"/>
        <w:tabs>
          <w:tab w:leader="none" w:pos="121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220" w:right="300" w:hanging="564"/>
        <w:spacing w:after="0" w:line="312" w:lineRule="auto"/>
        <w:tabs>
          <w:tab w:leader="none" w:pos="1217"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jc w:val="both"/>
        <w:ind w:left="1220" w:right="240" w:hanging="564"/>
        <w:spacing w:after="0" w:line="266" w:lineRule="auto"/>
        <w:tabs>
          <w:tab w:leader="none" w:pos="121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220" w:right="540" w:hanging="564"/>
        <w:spacing w:after="0" w:line="282" w:lineRule="auto"/>
        <w:tabs>
          <w:tab w:leader="none" w:pos="121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220" w:right="240" w:hanging="564"/>
        <w:spacing w:after="0" w:line="282" w:lineRule="auto"/>
        <w:tabs>
          <w:tab w:leader="none" w:pos="121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6, 2026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Liam P. Caffrey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240"/>
          </w:cols>
          <w:pgMar w:left="320" w:top="887"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 CERTIFICATION PURSUANT TO RULE 13a-14(a)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A. Papamichael, Managing Director and Chief Financial Officer of White Mountains Insurance Group, Ltd., certify that:</w:t>
      </w:r>
    </w:p>
    <w:p>
      <w:pPr>
        <w:spacing w:after="0" w:line="252" w:lineRule="exact"/>
        <w:rPr>
          <w:sz w:val="20"/>
          <w:szCs w:val="20"/>
          <w:color w:val="auto"/>
        </w:rPr>
      </w:pPr>
    </w:p>
    <w:p>
      <w:pPr>
        <w:ind w:left="180" w:hanging="172"/>
        <w:spacing w:after="0"/>
        <w:tabs>
          <w:tab w:leader="none" w:pos="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ending March 31, 2026 of White Mountains Insurance Group, Ltd.;</w:t>
      </w:r>
    </w:p>
    <w:p>
      <w:pPr>
        <w:spacing w:after="0" w:line="252" w:lineRule="exact"/>
        <w:rPr>
          <w:rFonts w:ascii="Times New Roman" w:cs="Times New Roman" w:eastAsia="Times New Roman" w:hAnsi="Times New Roman"/>
          <w:sz w:val="18"/>
          <w:szCs w:val="18"/>
          <w:color w:val="auto"/>
        </w:rPr>
      </w:pPr>
    </w:p>
    <w:p>
      <w:pPr>
        <w:ind w:right="160" w:firstLine="8"/>
        <w:spacing w:after="0" w:line="266" w:lineRule="auto"/>
        <w:tabs>
          <w:tab w:leader="none" w:pos="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2" w:lineRule="exact"/>
        <w:rPr>
          <w:rFonts w:ascii="Times New Roman" w:cs="Times New Roman" w:eastAsia="Times New Roman" w:hAnsi="Times New Roman"/>
          <w:sz w:val="18"/>
          <w:szCs w:val="18"/>
          <w:color w:val="auto"/>
        </w:rPr>
      </w:pPr>
    </w:p>
    <w:p>
      <w:pPr>
        <w:ind w:left="1220" w:right="200" w:hanging="564"/>
        <w:spacing w:after="0" w:line="266" w:lineRule="auto"/>
        <w:tabs>
          <w:tab w:leader="none" w:pos="121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220" w:right="120" w:hanging="564"/>
        <w:spacing w:after="0" w:line="266" w:lineRule="auto"/>
        <w:tabs>
          <w:tab w:leader="none" w:pos="121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220" w:right="300" w:hanging="564"/>
        <w:spacing w:after="0" w:line="312" w:lineRule="auto"/>
        <w:tabs>
          <w:tab w:leader="none" w:pos="1217"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jc w:val="both"/>
        <w:ind w:left="1220" w:right="240" w:hanging="564"/>
        <w:spacing w:after="0" w:line="266" w:lineRule="auto"/>
        <w:tabs>
          <w:tab w:leader="none" w:pos="121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220" w:right="540" w:hanging="564"/>
        <w:spacing w:after="0" w:line="282" w:lineRule="auto"/>
        <w:tabs>
          <w:tab w:leader="none" w:pos="121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220" w:right="240" w:hanging="564"/>
        <w:spacing w:after="0" w:line="282" w:lineRule="auto"/>
        <w:tabs>
          <w:tab w:leader="none" w:pos="121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6, 2026</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Michael A. Papamichael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C- 2</w:t>
      </w:r>
    </w:p>
    <w:p>
      <w:pPr>
        <w:sectPr>
          <w:pgSz w:w="11900" w:h="16838" w:orient="portrait"/>
          <w:cols w:equalWidth="0" w:num="1">
            <w:col w:w="11240"/>
          </w:cols>
          <w:pgMar w:left="320" w:top="563"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White Mountains Insurance Group, Ltd. (the “Company”), for the quarter ending March 31, 2026 as filed with the Securities and Exchange Commission on the date hereof (the “Report”), I, Liam P. Caffrey, Chief Executive Officer of the Company, certify, pursuant to 18 U.S.C. §1350, as adopted pursuant to §906 of the Sarbanes-Oxley Act of 2002, that to my knowledge:</w:t>
      </w:r>
    </w:p>
    <w:p>
      <w:pPr>
        <w:spacing w:after="0" w:line="176" w:lineRule="exact"/>
        <w:rPr>
          <w:sz w:val="20"/>
          <w:szCs w:val="20"/>
          <w:color w:val="auto"/>
        </w:rPr>
      </w:pPr>
    </w:p>
    <w:p>
      <w:pPr>
        <w:ind w:left="1380" w:hanging="724"/>
        <w:spacing w:after="0"/>
        <w:tabs>
          <w:tab w:leader="none" w:pos="1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80" w:right="200" w:hanging="724"/>
        <w:spacing w:after="0" w:line="282" w:lineRule="auto"/>
        <w:tabs>
          <w:tab w:leader="none" w:pos="137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Liam P. 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240"/>
          </w:cols>
          <w:pgMar w:left="320" w:top="887"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White Mountains Insurance Group, Ltd. (the “Company”), for the quarter ending March 31, 2026 as filed with the Securities and Exchange Commission on the date hereof (the “Report”), I, Michael A. Papamichael, Managing Director and Chief Financial Officer of the Company, certify, pursuant to 18 U.S.C. §1350, as adopted pursuant to §906 of the Sarbanes-Oxley Act of 2002, that to my knowledge:</w:t>
      </w:r>
    </w:p>
    <w:p>
      <w:pPr>
        <w:spacing w:after="0" w:line="180" w:lineRule="exact"/>
        <w:rPr>
          <w:sz w:val="20"/>
          <w:szCs w:val="20"/>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A. Papamichael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Managing Director and Chief Financial Officer</w:t>
      </w: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decimal"/>
      <w:start w:val="4"/>
    </w:lvl>
  </w:abstractNum>
  <w:abstractNum w:abstractNumId="3">
    <w:nsid w:val="3006C83E"/>
    <w:multiLevelType w:val="hybridMultilevel"/>
    <w:lvl w:ilvl="0">
      <w:lvlJc w:val="left"/>
      <w:lvlText w:val="\emdash "/>
      <w:numFmt w:val="bullet"/>
      <w:start w:val="1"/>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1)"/>
      <w:numFmt w:val="decimal"/>
      <w:start w:val="1"/>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1)"/>
      <w:numFmt w:val="decimal"/>
      <w:start w:val="1"/>
    </w:lvl>
  </w:abstractNum>
  <w:abstractNum w:abstractNumId="9">
    <w:nsid w:val="3804823E"/>
    <w:multiLevelType w:val="hybridMultilevel"/>
    <w:lvl w:ilvl="0">
      <w:lvlJc w:val="left"/>
      <w:lvlText w:val="(%1)"/>
      <w:numFmt w:val="decimal"/>
      <w:start w:val="1"/>
    </w:lvl>
  </w:abstractNum>
  <w:abstractNum w:abstractNumId="10">
    <w:nsid w:val="77465F01"/>
    <w:multiLevelType w:val="hybridMultilevel"/>
    <w:lvl w:ilvl="0">
      <w:lvlJc w:val="left"/>
      <w:lvlText w:val="(%1)"/>
      <w:numFmt w:val="decimal"/>
      <w:start w:val="1"/>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1)"/>
      <w:numFmt w:val="decimal"/>
      <w:start w:val="1"/>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1)"/>
      <w:numFmt w:val="decimal"/>
      <w:start w:val="1"/>
    </w:lvl>
  </w:abstractNum>
  <w:abstractNum w:abstractNumId="15">
    <w:nsid w:val="51EAD36B"/>
    <w:multiLevelType w:val="hybridMultilevel"/>
    <w:lvl w:ilvl="0">
      <w:lvlJc w:val="left"/>
      <w:lvlText w:val="(%1)"/>
      <w:numFmt w:val="decimal"/>
      <w:start w:val="1"/>
    </w:lvl>
  </w:abstractNum>
  <w:abstractNum w:abstractNumId="16">
    <w:nsid w:val="2D517796"/>
    <w:multiLevelType w:val="hybridMultilevel"/>
    <w:lvl w:ilvl="0">
      <w:lvlJc w:val="left"/>
      <w:lvlText w:val="(%1)"/>
      <w:numFmt w:val="decimal"/>
      <w:start w:val="1"/>
    </w:lvl>
  </w:abstractNum>
  <w:abstractNum w:abstractNumId="17">
    <w:nsid w:val="580BD78F"/>
    <w:multiLevelType w:val="hybridMultilevel"/>
    <w:lvl w:ilvl="0">
      <w:lvlJc w:val="left"/>
      <w:lvlText w:val="(%1)"/>
      <w:numFmt w:val="decimal"/>
      <w:start w:val="1"/>
    </w:lvl>
  </w:abstractNum>
  <w:abstractNum w:abstractNumId="18">
    <w:nsid w:val="153EA438"/>
    <w:multiLevelType w:val="hybridMultilevel"/>
    <w:lvl w:ilvl="0">
      <w:lvlJc w:val="left"/>
      <w:lvlText w:val="(%1)"/>
      <w:numFmt w:val="decimal"/>
      <w:start w:val="1"/>
    </w:lvl>
  </w:abstractNum>
  <w:abstractNum w:abstractNumId="19">
    <w:nsid w:val="3855585C"/>
    <w:multiLevelType w:val="hybridMultilevel"/>
    <w:lvl w:ilvl="0">
      <w:lvlJc w:val="left"/>
      <w:lvlText w:val="(%1)"/>
      <w:numFmt w:val="decimal"/>
      <w:start w:val="1"/>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1)"/>
      <w:numFmt w:val="decimal"/>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1)"/>
      <w:numFmt w:val="decimal"/>
      <w:start w:val="4"/>
    </w:lvl>
  </w:abstractNum>
  <w:abstractNum w:abstractNumId="25">
    <w:nsid w:val="2CD89A32"/>
    <w:multiLevelType w:val="hybridMultilevel"/>
    <w:lvl w:ilvl="0">
      <w:lvlJc w:val="left"/>
      <w:lvlText w:val="(%1)"/>
      <w:numFmt w:val="decimal"/>
      <w:start w:val="1"/>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1)"/>
      <w:numFmt w:val="decimal"/>
      <w:start w:val="1"/>
    </w:lvl>
  </w:abstractNum>
  <w:abstractNum w:abstractNumId="28">
    <w:nsid w:val="4B588F54"/>
    <w:multiLevelType w:val="hybridMultilevel"/>
    <w:lvl w:ilvl="0">
      <w:lvlJc w:val="left"/>
      <w:lvlText w:val="(%1)"/>
      <w:numFmt w:val="decimal"/>
      <w:start w:val="1"/>
    </w:lvl>
  </w:abstractNum>
  <w:abstractNum w:abstractNumId="29">
    <w:nsid w:val="542289EC"/>
    <w:multiLevelType w:val="hybridMultilevel"/>
    <w:lvl w:ilvl="0">
      <w:lvlJc w:val="left"/>
      <w:lvlText w:val="(%1)"/>
      <w:numFmt w:val="decimal"/>
      <w:start w:val="2"/>
    </w:lvl>
  </w:abstractNum>
  <w:abstractNum w:abstractNumId="30">
    <w:nsid w:val="6DE91B18"/>
    <w:multiLevelType w:val="hybridMultilevel"/>
    <w:lvl w:ilvl="0">
      <w:lvlJc w:val="left"/>
      <w:lvlText w:val="(%1)"/>
      <w:numFmt w:val="decimal"/>
      <w:start w:val="2"/>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1)"/>
      <w:numFmt w:val="decimal"/>
      <w:start w:val="2"/>
    </w:lvl>
  </w:abstractNum>
  <w:abstractNum w:abstractNumId="33">
    <w:nsid w:val="32FFF902"/>
    <w:multiLevelType w:val="hybridMultilevel"/>
    <w:lvl w:ilvl="0">
      <w:lvlJc w:val="left"/>
      <w:lvlText w:val="(%1)"/>
      <w:numFmt w:val="decimal"/>
      <w:start w:val="2"/>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1)"/>
      <w:numFmt w:val="decimal"/>
      <w:start w:val="1"/>
    </w:lvl>
  </w:abstractNum>
  <w:abstractNum w:abstractNumId="36">
    <w:nsid w:val="749ABB43"/>
    <w:multiLevelType w:val="hybridMultilevel"/>
    <w:lvl w:ilvl="0">
      <w:lvlJc w:val="left"/>
      <w:lvlText w:val="(%1)"/>
      <w:numFmt w:val="decimal"/>
      <w:start w:val="1"/>
    </w:lvl>
  </w:abstractNum>
  <w:abstractNum w:abstractNumId="37">
    <w:nsid w:val="3DC240FB"/>
    <w:multiLevelType w:val="hybridMultilevel"/>
    <w:lvl w:ilvl="0">
      <w:lvlJc w:val="left"/>
      <w:lvlText w:val="(%1)"/>
      <w:numFmt w:val="decimal"/>
      <w:start w:val="1"/>
    </w:lvl>
  </w:abstractNum>
  <w:abstractNum w:abstractNumId="38">
    <w:nsid w:val="1BA026FA"/>
    <w:multiLevelType w:val="hybridMultilevel"/>
    <w:lvl w:ilvl="0">
      <w:lvlJc w:val="left"/>
      <w:lvlText w:val="(%1)"/>
      <w:numFmt w:val="decimal"/>
      <w:start w:val="4"/>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1)"/>
      <w:numFmt w:val="decimal"/>
      <w:start w:val="1"/>
    </w:lvl>
  </w:abstractNum>
  <w:abstractNum w:abstractNumId="41">
    <w:nsid w:val="12E685FB"/>
    <w:multiLevelType w:val="hybridMultilevel"/>
    <w:lvl w:ilvl="0">
      <w:lvlJc w:val="left"/>
      <w:lvlText w:val="(%1)"/>
      <w:numFmt w:val="decimal"/>
      <w:start w:val="1"/>
    </w:lvl>
  </w:abstractNum>
  <w:abstractNum w:abstractNumId="42">
    <w:nsid w:val="70C6A529"/>
    <w:multiLevelType w:val="hybridMultilevel"/>
    <w:lvl w:ilvl="0">
      <w:lvlJc w:val="left"/>
      <w:lvlText w:val="(%1)"/>
      <w:numFmt w:val="decimal"/>
      <w:start w:val="1"/>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1)"/>
      <w:numFmt w:val="decimal"/>
      <w:start w:val="1"/>
    </w:lvl>
  </w:abstractNum>
  <w:abstractNum w:abstractNumId="49">
    <w:nsid w:val="39386575"/>
    <w:multiLevelType w:val="hybridMultilevel"/>
    <w:lvl w:ilvl="0">
      <w:lvlJc w:val="left"/>
      <w:lvlText w:val="(%1)"/>
      <w:numFmt w:val="decimal"/>
      <w:start w:val="1"/>
    </w:lvl>
  </w:abstractNum>
  <w:abstractNum w:abstractNumId="50">
    <w:nsid w:val="1CF10FD8"/>
    <w:multiLevelType w:val="hybridMultilevel"/>
    <w:lvl w:ilvl="0">
      <w:lvlJc w:val="left"/>
      <w:lvlText w:val="(%1)"/>
      <w:numFmt w:val="decimal"/>
      <w:start w:val="1"/>
    </w:lvl>
  </w:abstractNum>
  <w:abstractNum w:abstractNumId="51">
    <w:nsid w:val="180115BE"/>
    <w:multiLevelType w:val="hybridMultilevel"/>
    <w:lvl w:ilvl="0">
      <w:lvlJc w:val="left"/>
      <w:lvlText w:val="(%1)"/>
      <w:numFmt w:val="decimal"/>
      <w:start w:val="3"/>
    </w:lvl>
  </w:abstractNum>
  <w:abstractNum w:abstractNumId="52">
    <w:nsid w:val="235BA861"/>
    <w:multiLevelType w:val="hybridMultilevel"/>
    <w:lvl w:ilvl="0">
      <w:lvlJc w:val="left"/>
      <w:lvlText w:val="(%1)"/>
      <w:numFmt w:val="lowerRoman"/>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
      <w:numFmt w:val="bullet"/>
      <w:start w:val="1"/>
    </w:lvl>
    <w:lvl w:ilvl="1">
      <w:lvlJc w:val="left"/>
      <w:lvlText w:val="%2"/>
      <w:numFmt w:val="decimal"/>
      <w:start w:val="10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
      <w:numFmt w:val="bullet"/>
      <w:start w:val="1"/>
    </w:lvl>
  </w:abstractNum>
  <w:abstractNum w:abstractNumId="62">
    <w:nsid w:val="77AE35E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2026-05-06T07:35:56Z</dcterms:created>
  <dcterms:modified xsi:type="dcterms:W3CDTF">2026-05-06T07:35:56Z</dcterms:modified>
</cp:coreProperties>
</file>