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620"/>
              <w:spacing w:after="0" w:line="188" w:lineRule="exact"/>
              <w:rPr>
                <w:sz w:val="20"/>
                <w:szCs w:val="20"/>
                <w:color w:val="auto"/>
              </w:rPr>
            </w:pPr>
            <w:r>
              <w:rPr>
                <w:rFonts w:ascii="Arial" w:cs="Arial" w:eastAsia="Arial" w:hAnsi="Arial"/>
                <w:sz w:val="18"/>
                <w:szCs w:val="18"/>
                <w:color w:val="0000FF"/>
              </w:rPr>
              <w:t>CEO - WTM Re</w:t>
            </w: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02/23/2011</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21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02/23/2011</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1,650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240" w:type="dxa"/>
            <w:vAlign w:val="bottom"/>
            <w:tcBorders>
              <w:bottom w:val="single" w:sz="8" w:color="2C2C2C"/>
            </w:tcBorders>
            <w:gridSpan w:val="2"/>
          </w:tcPr>
          <w:p>
            <w:pPr>
              <w:jc w:val="right"/>
              <w:ind w:right="314"/>
              <w:spacing w:after="0"/>
              <w:rPr>
                <w:sz w:val="20"/>
                <w:szCs w:val="20"/>
                <w:color w:val="auto"/>
              </w:rPr>
            </w:pPr>
            <w:r>
              <w:rPr>
                <w:rFonts w:ascii="Arial" w:cs="Arial" w:eastAsia="Arial" w:hAnsi="Arial"/>
                <w:sz w:val="18"/>
                <w:szCs w:val="18"/>
                <w:color w:val="0000FF"/>
              </w:rPr>
              <w:t>2,875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314"/>
              <w:spacing w:after="0"/>
              <w:rPr>
                <w:sz w:val="20"/>
                <w:szCs w:val="20"/>
                <w:color w:val="auto"/>
              </w:rPr>
            </w:pPr>
            <w:r>
              <w:rPr>
                <w:rFonts w:ascii="Arial" w:cs="Arial" w:eastAsia="Arial" w:hAnsi="Arial"/>
                <w:sz w:val="18"/>
                <w:szCs w:val="18"/>
                <w:color w:val="0000FF"/>
              </w:rPr>
              <w:t>4,372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454"/>
              <w:spacing w:after="0"/>
              <w:rPr>
                <w:sz w:val="20"/>
                <w:szCs w:val="20"/>
                <w:color w:val="auto"/>
              </w:rPr>
            </w:pPr>
            <w:r>
              <w:rPr>
                <w:rFonts w:ascii="Arial" w:cs="Arial" w:eastAsia="Arial" w:hAnsi="Arial"/>
                <w:sz w:val="18"/>
                <w:szCs w:val="18"/>
                <w:color w:val="0000FF"/>
                <w:w w:val="86"/>
              </w:rPr>
              <w:t>600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vMerge w:val="restart"/>
          </w:tcPr>
          <w:p>
            <w:pPr>
              <w:jc w:val="right"/>
              <w:ind w:right="454"/>
              <w:spacing w:after="0"/>
              <w:rPr>
                <w:sz w:val="20"/>
                <w:szCs w:val="20"/>
                <w:color w:val="auto"/>
              </w:rPr>
            </w:pPr>
            <w:r>
              <w:rPr>
                <w:rFonts w:ascii="Arial" w:cs="Arial" w:eastAsia="Arial" w:hAnsi="Arial"/>
                <w:sz w:val="18"/>
                <w:szCs w:val="18"/>
                <w:color w:val="0000FF"/>
                <w:w w:val="86"/>
              </w:rPr>
              <w:t>120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6"/>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February 23, 2011, the Reporting Person received a restricted share award of 1,650 Common Shares. The restricted shares vest on January 1, 2014.</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reclassification of 1,200 Common Shares (restricted) to unrestricted on December 31, 2010.</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Jason R. Lichtenstein,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239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29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9945"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color w:val="0000FF"/>
        </w:rPr>
        <w:t>02/25/2011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2019-12-18T13:42:19Z</dcterms:created>
  <dcterms:modified xsi:type="dcterms:W3CDTF">2019-12-18T13:42:19Z</dcterms:modified>
</cp:coreProperties>
</file>