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DAVIS MORGAN W</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line="237" w:lineRule="auto"/>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WHITE MOUNTAINS INSURANCE</w:t>
        </w:r>
      </w:hyperlink>
      <w:r>
        <w:rPr>
          <w:rFonts w:ascii="Times New Roman" w:cs="Times New Roman" w:eastAsia="Times New Roman" w:hAnsi="Times New Roman"/>
          <w:sz w:val="22"/>
          <w:szCs w:val="22"/>
          <w:u w:val="single" w:color="auto"/>
          <w:color w:val="0000EE"/>
        </w:rPr>
        <w:t xml:space="preserve"> </w:t>
      </w:r>
      <w:hyperlink r:id="rId13">
        <w:r>
          <w:rPr>
            <w:rFonts w:ascii="Times New Roman" w:cs="Times New Roman" w:eastAsia="Times New Roman" w:hAnsi="Times New Roman"/>
            <w:sz w:val="22"/>
            <w:szCs w:val="22"/>
            <w:u w:val="single" w:color="auto"/>
            <w:color w:val="0000EE"/>
          </w:rPr>
          <w:t>GROUP LTD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04/16/2019</w:t>
      </w:r>
    </w:p>
    <w:p>
      <w:pPr>
        <w:spacing w:after="0" w:line="20" w:lineRule="exact"/>
        <w:rPr>
          <w:sz w:val="20"/>
          <w:szCs w:val="20"/>
          <w:color w:val="auto"/>
        </w:rPr>
      </w:pPr>
      <w:r>
        <w:rPr>
          <w:sz w:val="20"/>
          <w:szCs w:val="20"/>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1" w:lineRule="exact"/>
        <w:rPr>
          <w:sz w:val="20"/>
          <w:szCs w:val="20"/>
          <w:color w:val="auto"/>
        </w:rPr>
      </w:pPr>
    </w:p>
    <w:p>
      <w:pPr>
        <w:sectPr>
          <w:pgSz w:w="11900" w:h="16838" w:orient="portrait"/>
          <w:cols w:equalWidth="0" w:num="3">
            <w:col w:w="3820" w:space="260"/>
            <w:col w:w="3320" w:space="657"/>
            <w:col w:w="3363"/>
          </w:cols>
          <w:pgMar w:left="240" w:top="220" w:right="2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507"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912.9</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0000FF"/>
              </w:rPr>
              <w:t>04/16/2019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00" w:type="dxa"/>
            <w:vAlign w:val="bottom"/>
          </w:tcPr>
          <w:p>
            <w:pPr>
              <w:ind w:left="280"/>
              <w:spacing w:after="0" w:line="216" w:lineRule="exact"/>
              <w:rPr>
                <w:sz w:val="20"/>
                <w:szCs w:val="20"/>
                <w:color w:val="auto"/>
              </w:rPr>
            </w:pPr>
            <w:r>
              <w:rPr>
                <w:rFonts w:ascii="Times New Roman" w:cs="Times New Roman" w:eastAsia="Times New Roman" w:hAnsi="Times New Roman"/>
                <w:sz w:val="25"/>
                <w:szCs w:val="25"/>
                <w:color w:val="0000FF"/>
                <w:vertAlign w:val="subscript"/>
              </w:rPr>
              <w:t>354</w:t>
            </w:r>
            <w:r>
              <w:rPr>
                <w:rFonts w:ascii="Times New Roman" w:cs="Times New Roman" w:eastAsia="Times New Roman" w:hAnsi="Times New Roman"/>
                <w:sz w:val="10"/>
                <w:szCs w:val="10"/>
                <w:color w:val="008000"/>
              </w:rPr>
              <w:t>(1)</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4,250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Family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6,639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The sale reported in this Form 4 was effected pursuant to a Rule 10b5-1 trading plan adopted by the Davis Family Trust on March 6,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line="193" w:lineRule="exact"/>
        <w:rPr>
          <w:sz w:val="20"/>
          <w:szCs w:val="20"/>
          <w:color w:val="auto"/>
        </w:rPr>
      </w:pPr>
    </w:p>
    <w:p>
      <w:pPr>
        <w:ind w:right="3899"/>
        <w:spacing w:after="0" w:line="47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4"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36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1" w:lineRule="exact"/>
        <w:rPr>
          <w:rFonts w:ascii="Courier New" w:cs="Courier New" w:eastAsia="Courier New" w:hAnsi="Courier New"/>
          <w:sz w:val="18"/>
          <w:szCs w:val="18"/>
          <w:color w:val="auto"/>
        </w:rPr>
      </w:pPr>
    </w:p>
    <w:p>
      <w:pPr>
        <w:ind w:right="32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5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7031" w:orient="portrait"/>
          <w:cols w:equalWidth="0" w:num="1">
            <w:col w:w="10219"/>
          </w:cols>
          <w:pgMar w:left="240" w:top="110"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531"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2019-12-24T09:19:23Z</dcterms:created>
  <dcterms:modified xsi:type="dcterms:W3CDTF">2019-12-24T09:19:23Z</dcterms:modified>
</cp:coreProperties>
</file>