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93039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BARRETTE RAYMOND JOSEPH RENE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right="180"/>
        <w:spacing w:after="0" w:line="358" w:lineRule="auto"/>
        <w:rPr>
          <w:sz w:val="20"/>
          <w:szCs w:val="20"/>
          <w:color w:val="auto"/>
        </w:rPr>
      </w:pPr>
      <w:r>
        <w:rPr>
          <w:rFonts w:ascii="Times New Roman" w:cs="Times New Roman" w:eastAsia="Times New Roman" w:hAnsi="Times New Roman"/>
          <w:sz w:val="17"/>
          <w:szCs w:val="17"/>
          <w:color w:val="0000FF"/>
        </w:rPr>
        <w:t>C/O WHITE MOUNTAINS INSURANCE GROUP 80 SOUTH MAIN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NH</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03755</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260" w:type="dxa"/>
            <w:vAlign w:val="bottom"/>
            <w:tcBorders>
              <w:bottom w:val="single" w:sz="8" w:color="0000EE"/>
            </w:tcBorders>
            <w:gridSpan w:val="3"/>
          </w:tcPr>
          <w:p>
            <w:pPr>
              <w:spacing w:after="0" w:line="212"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WHITE MOUNTAINS INSURANCE</w:t>
              </w:r>
            </w:hyperlink>
          </w:p>
        </w:tc>
        <w:tc>
          <w:tcPr>
            <w:tcW w:w="660" w:type="dxa"/>
            <w:vAlign w:val="bottom"/>
          </w:tcPr>
          <w:p>
            <w:pPr>
              <w:spacing w:after="0"/>
              <w:rPr>
                <w:sz w:val="18"/>
                <w:szCs w:val="18"/>
                <w:color w:val="auto"/>
              </w:rPr>
            </w:pPr>
          </w:p>
        </w:tc>
        <w:tc>
          <w:tcPr>
            <w:tcW w:w="19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80" w:type="dxa"/>
            <w:vAlign w:val="bottom"/>
            <w:gridSpan w:val="5"/>
            <w:vMerge w:val="restart"/>
          </w:tcPr>
          <w:p>
            <w:pPr>
              <w:ind w:left="60"/>
              <w:spacing w:after="0" w:line="22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398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020" w:type="dxa"/>
            <w:vAlign w:val="bottom"/>
            <w:tcBorders>
              <w:top w:val="single" w:sz="8" w:color="0000EE"/>
            </w:tcBorders>
          </w:tcPr>
          <w:p>
            <w:pPr>
              <w:spacing w:after="0"/>
              <w:rPr>
                <w:sz w:val="10"/>
                <w:szCs w:val="10"/>
                <w:color w:val="auto"/>
              </w:rPr>
            </w:pPr>
          </w:p>
        </w:tc>
        <w:tc>
          <w:tcPr>
            <w:tcW w:w="2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ind w:left="120"/>
              <w:spacing w:after="0" w:line="116" w:lineRule="exact"/>
              <w:rPr>
                <w:sz w:val="20"/>
                <w:szCs w:val="20"/>
                <w:color w:val="auto"/>
              </w:rPr>
            </w:pPr>
            <w:r>
              <w:rPr>
                <w:rFonts w:ascii="Arial" w:cs="Arial" w:eastAsia="Arial" w:hAnsi="Arial"/>
                <w:sz w:val="13"/>
                <w:szCs w:val="13"/>
                <w:color w:val="auto"/>
              </w:rPr>
              <w:t>below)</w:t>
            </w:r>
          </w:p>
        </w:tc>
        <w:tc>
          <w:tcPr>
            <w:tcW w:w="1520" w:type="dxa"/>
            <w:vAlign w:val="bottom"/>
          </w:tcPr>
          <w:p>
            <w:pPr>
              <w:ind w:left="36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09/27/2005</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412" w:lineRule="exact"/>
        <w:rPr>
          <w:sz w:val="20"/>
          <w:szCs w:val="20"/>
          <w:color w:val="auto"/>
        </w:rPr>
      </w:pPr>
    </w:p>
    <w:p>
      <w:pPr>
        <w:sectPr>
          <w:pgSz w:w="11900" w:h="16838" w:orient="portrait"/>
          <w:cols w:equalWidth="0" w:num="2">
            <w:col w:w="3900" w:space="100"/>
            <w:col w:w="7520"/>
          </w:cols>
          <w:pgMar w:left="240" w:top="218" w:right="139" w:bottom="1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10,834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4,615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4,230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09/27/2006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7" w:lineRule="exact"/>
              <w:rPr>
                <w:sz w:val="20"/>
                <w:szCs w:val="20"/>
                <w:color w:val="auto"/>
              </w:rPr>
            </w:pPr>
            <w:r>
              <w:rPr>
                <w:rFonts w:ascii="Times New Roman" w:cs="Times New Roman" w:eastAsia="Times New Roman" w:hAnsi="Times New Roman"/>
                <w:sz w:val="26"/>
                <w:szCs w:val="26"/>
                <w:color w:val="0000FF"/>
                <w:vertAlign w:val="subscript"/>
              </w:rPr>
              <w:t>98</w:t>
            </w:r>
            <w:r>
              <w:rPr>
                <w:rFonts w:ascii="Times New Roman" w:cs="Times New Roman" w:eastAsia="Times New Roman" w:hAnsi="Times New Roman"/>
                <w:sz w:val="11"/>
                <w:szCs w:val="11"/>
                <w:color w:val="008000"/>
              </w:rPr>
              <w:t>(2)</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98</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498.75</w:t>
            </w:r>
            <w:r>
              <w:rPr>
                <w:rFonts w:ascii="Times New Roman" w:cs="Times New Roman" w:eastAsia="Times New Roman" w:hAnsi="Times New Roman"/>
                <w:sz w:val="22"/>
                <w:szCs w:val="22"/>
                <w:color w:val="008000"/>
                <w:vertAlign w:val="superscript"/>
              </w:rPr>
              <w:t>(4)</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24,602</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Compensation)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Shares are convertible into Common Shares of a 1 for 1 basis.</w:t>
      </w:r>
    </w:p>
    <w:p>
      <w:pPr>
        <w:spacing w:after="0" w:line="48" w:lineRule="exact"/>
        <w:rPr>
          <w:rFonts w:ascii="Times New Roman" w:cs="Times New Roman" w:eastAsia="Times New Roman" w:hAnsi="Times New Roman"/>
          <w:sz w:val="13"/>
          <w:szCs w:val="13"/>
          <w:color w:val="008000"/>
        </w:rPr>
      </w:pPr>
    </w:p>
    <w:p>
      <w:pPr>
        <w:ind w:left="40" w:right="340" w:firstLine="6"/>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27, 2006, the Reporting Person's deferred compensation account was credited with Phantom Shares equal in value to the ordinary dividend paid on the underlying WTM Common Shares on the dividend date.</w:t>
      </w:r>
    </w:p>
    <w:p>
      <w:pPr>
        <w:spacing w:after="0" w:line="8" w:lineRule="exact"/>
        <w:rPr>
          <w:rFonts w:ascii="Times New Roman" w:cs="Times New Roman" w:eastAsia="Times New Roman" w:hAnsi="Times New Roman"/>
          <w:sz w:val="13"/>
          <w:szCs w:val="13"/>
          <w:color w:val="008000"/>
        </w:rPr>
      </w:pPr>
    </w:p>
    <w:p>
      <w:pPr>
        <w:ind w:left="40" w:right="320" w:firstLine="6"/>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are payable, as a result of the Reporting Person's separation of employment from WTM, in cash or in Common Shares, in ten equal installments that commenced in 2006. Final payment is due in 2015.</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Dividends are automatically invested in Phantom Shares at the fair market value per share of the underlying WTM Common Shares on September 27, 2006, the date the dividends are deemed to be paid.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Dennis Beaulieu,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09/28/2006</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8" w:right="139" w:bottom="168" w:gutter="0" w:footer="0" w:header="0"/>
          <w:type w:val="continuous"/>
        </w:sectPr>
      </w:pPr>
    </w:p>
    <w:bookmarkStart w:id="1" w:name="page2"/>
    <w:bookmarkEnd w:id="1"/>
    <w:p>
      <w:pPr>
        <w:ind w:right="391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6"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21st day of July, 2006.</w:t>
      </w:r>
    </w:p>
    <w:p>
      <w:pPr>
        <w:spacing w:after="0" w:line="17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2019-12-17T11:23:02Z</dcterms:created>
  <dcterms:modified xsi:type="dcterms:W3CDTF">2019-12-17T11:23:02Z</dcterms:modified>
</cp:coreProperties>
</file>