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96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96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Frinquelli Angelo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11/08/2005</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0000FF"/>
                <w:w w:val="94"/>
              </w:rPr>
              <w:t>By</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0"/>
              </w:rPr>
              <w:t>Renaissance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600" w:type="dxa"/>
            <w:vAlign w:val="bottom"/>
            <w:gridSpan w:val="2"/>
          </w:tcPr>
          <w:p>
            <w:pPr>
              <w:ind w:left="680"/>
              <w:spacing w:after="0"/>
              <w:rPr>
                <w:sz w:val="20"/>
                <w:szCs w:val="20"/>
                <w:color w:val="auto"/>
              </w:rPr>
            </w:pPr>
            <w:r>
              <w:rPr>
                <w:rFonts w:ascii="Arial" w:cs="Arial" w:eastAsia="Arial" w:hAnsi="Arial"/>
                <w:sz w:val="18"/>
                <w:szCs w:val="18"/>
                <w:color w:val="0000FF"/>
                <w:w w:val="99"/>
              </w:rPr>
              <w:t>11/08/2005</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P</w:t>
            </w:r>
          </w:p>
        </w:tc>
        <w:tc>
          <w:tcPr>
            <w:tcW w:w="760" w:type="dxa"/>
            <w:vAlign w:val="bottom"/>
          </w:tcPr>
          <w:p>
            <w:pPr>
              <w:ind w:left="280"/>
              <w:spacing w:after="0"/>
              <w:rPr>
                <w:sz w:val="20"/>
                <w:szCs w:val="20"/>
                <w:color w:val="auto"/>
              </w:rPr>
            </w:pPr>
            <w:r>
              <w:rPr>
                <w:rFonts w:ascii="Arial" w:cs="Arial" w:eastAsia="Arial" w:hAnsi="Arial"/>
                <w:sz w:val="18"/>
                <w:szCs w:val="18"/>
                <w:color w:val="0000FF"/>
              </w:rPr>
              <w:t>100</w:t>
            </w:r>
          </w:p>
        </w:tc>
        <w:tc>
          <w:tcPr>
            <w:tcW w:w="500" w:type="dxa"/>
            <w:vAlign w:val="bottom"/>
          </w:tcPr>
          <w:p>
            <w:pPr>
              <w:ind w:left="260"/>
              <w:spacing w:after="0"/>
              <w:rPr>
                <w:sz w:val="20"/>
                <w:szCs w:val="20"/>
                <w:color w:val="auto"/>
              </w:rPr>
            </w:pPr>
            <w:r>
              <w:rPr>
                <w:rFonts w:ascii="Arial" w:cs="Arial" w:eastAsia="Arial" w:hAnsi="Arial"/>
                <w:sz w:val="18"/>
                <w:szCs w:val="18"/>
                <w:color w:val="0000FF"/>
              </w:rPr>
              <w:t>A</w:t>
            </w:r>
          </w:p>
        </w:tc>
        <w:tc>
          <w:tcPr>
            <w:tcW w:w="600" w:type="dxa"/>
            <w:vAlign w:val="bottom"/>
          </w:tcPr>
          <w:p>
            <w:pPr>
              <w:ind w:left="20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618</w:t>
            </w:r>
          </w:p>
        </w:tc>
        <w:tc>
          <w:tcPr>
            <w:tcW w:w="1340" w:type="dxa"/>
            <w:vAlign w:val="bottom"/>
            <w:gridSpan w:val="3"/>
          </w:tcPr>
          <w:p>
            <w:pPr>
              <w:ind w:left="560"/>
              <w:spacing w:after="0"/>
              <w:rPr>
                <w:sz w:val="20"/>
                <w:szCs w:val="20"/>
                <w:color w:val="auto"/>
              </w:rPr>
            </w:pPr>
            <w:r>
              <w:rPr>
                <w:rFonts w:ascii="Arial" w:cs="Arial" w:eastAsia="Arial" w:hAnsi="Arial"/>
                <w:sz w:val="18"/>
                <w:szCs w:val="18"/>
                <w:color w:val="0000FF"/>
              </w:rPr>
              <w:t>100</w:t>
            </w:r>
          </w:p>
        </w:tc>
        <w:tc>
          <w:tcPr>
            <w:tcW w:w="34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Fund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Advisors</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rPr>
              <w:t>Inc.</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Reporting Person is the sole shareholder of Renaissance Fund Advisors Inc.</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Dennis P. Beaulieu,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6985</wp:posOffset>
            </wp:positionV>
            <wp:extent cx="1325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5245"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16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1689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11/10/2005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960" w:space="20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25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General Counsel, and Dennis P. Beaulieu, Secretary, of White Mountains Insurance Group, Ltd., and Jason R. Lichtenstein, Vice President and Assistant General Counsel of White Mountains Capital, Inc., signing singly, the undersigned's true and lawful attorney-in-fact to:</w:t>
      </w:r>
    </w:p>
    <w:p>
      <w:pPr>
        <w:spacing w:after="0" w:line="9"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6" w:lineRule="exact"/>
        <w:rPr>
          <w:sz w:val="20"/>
          <w:szCs w:val="20"/>
          <w:color w:val="auto"/>
        </w:rPr>
      </w:pPr>
    </w:p>
    <w:p>
      <w:pPr>
        <w:ind w:right="4839"/>
        <w:spacing w:after="0" w:line="23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14th day of June, 2005.</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A. Michael Frinquelli</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3067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2019-12-17T11:25:51Z</dcterms:created>
  <dcterms:modified xsi:type="dcterms:W3CDTF">2019-12-17T11:25:51Z</dcterms:modified>
</cp:coreProperties>
</file>