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Rountree George Manning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02/27/2013</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963"/>
        <w:spacing w:after="0"/>
        <w:rPr>
          <w:sz w:val="20"/>
          <w:szCs w:val="20"/>
          <w:color w:val="auto"/>
        </w:rPr>
      </w:pPr>
      <w:r>
        <w:rPr>
          <w:rFonts w:ascii="Arial" w:cs="Arial" w:eastAsia="Arial" w:hAnsi="Arial"/>
          <w:sz w:val="18"/>
          <w:szCs w:val="18"/>
          <w:color w:val="0000FF"/>
        </w:rPr>
        <w:t>Managing Director</w:t>
      </w:r>
    </w:p>
    <w:p>
      <w:pPr>
        <w:spacing w:after="0" w:line="414" w:lineRule="exact"/>
        <w:rPr>
          <w:sz w:val="20"/>
          <w:szCs w:val="20"/>
          <w:color w:val="auto"/>
        </w:rPr>
      </w:pPr>
    </w:p>
    <w:p>
      <w:pPr>
        <w:sectPr>
          <w:pgSz w:w="11900" w:h="16838" w:orient="portrait"/>
          <w:cols w:equalWidth="0" w:num="3">
            <w:col w:w="3800" w:space="28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8"/>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02/27/2013</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120"/>
              <w:spacing w:after="0"/>
              <w:rPr>
                <w:sz w:val="20"/>
                <w:szCs w:val="20"/>
                <w:color w:val="auto"/>
              </w:rPr>
            </w:pPr>
            <w:r>
              <w:rPr>
                <w:rFonts w:ascii="Arial" w:cs="Arial" w:eastAsia="Arial" w:hAnsi="Arial"/>
                <w:sz w:val="18"/>
                <w:szCs w:val="18"/>
                <w:color w:val="0000FF"/>
              </w:rPr>
              <w:t>2,250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420"/>
              <w:spacing w:after="0"/>
              <w:rPr>
                <w:sz w:val="20"/>
                <w:szCs w:val="20"/>
                <w:color w:val="auto"/>
              </w:rPr>
            </w:pPr>
            <w:r>
              <w:rPr>
                <w:rFonts w:ascii="Arial" w:cs="Arial" w:eastAsia="Arial" w:hAnsi="Arial"/>
                <w:sz w:val="18"/>
                <w:szCs w:val="18"/>
                <w:color w:val="0000FF"/>
                <w:w w:val="88"/>
              </w:rPr>
              <w:t>7,550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232"/>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8"/>
                <w:szCs w:val="18"/>
                <w:color w:val="0000FF"/>
                <w:w w:val="88"/>
              </w:rPr>
              <w:t>2,987</w:t>
            </w:r>
          </w:p>
        </w:tc>
        <w:tc>
          <w:tcPr>
            <w:tcW w:w="260" w:type="dxa"/>
            <w:vAlign w:val="bottom"/>
          </w:tcPr>
          <w:p>
            <w:pPr>
              <w:spacing w:after="0"/>
              <w:rPr>
                <w:sz w:val="23"/>
                <w:szCs w:val="23"/>
                <w:color w:val="auto"/>
              </w:rPr>
            </w:pPr>
          </w:p>
        </w:tc>
        <w:tc>
          <w:tcPr>
            <w:tcW w:w="660" w:type="dxa"/>
            <w:vAlign w:val="bottom"/>
          </w:tcPr>
          <w:p>
            <w:pPr>
              <w:jc w:val="center"/>
              <w:ind w:right="232"/>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vMerge w:val="restart"/>
          </w:tcPr>
          <w:p>
            <w:pPr>
              <w:jc w:val="center"/>
              <w:ind w:left="31"/>
              <w:spacing w:after="0"/>
              <w:rPr>
                <w:sz w:val="20"/>
                <w:szCs w:val="20"/>
                <w:color w:val="auto"/>
              </w:rPr>
            </w:pPr>
            <w:r>
              <w:rPr>
                <w:rFonts w:ascii="Arial" w:cs="Arial" w:eastAsia="Arial" w:hAnsi="Arial"/>
                <w:sz w:val="18"/>
                <w:szCs w:val="18"/>
                <w:color w:val="0000FF"/>
                <w:w w:val="89"/>
              </w:rPr>
              <w:t>61</w:t>
            </w: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vMerge w:val="restart"/>
          </w:tcPr>
          <w:p>
            <w:pPr>
              <w:jc w:val="center"/>
              <w:ind w:right="23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21"/>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5"/>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gridSpan w:val="14"/>
          </w:tcPr>
          <w:p>
            <w:pPr>
              <w:ind w:left="20"/>
              <w:spacing w:after="0"/>
              <w:rPr>
                <w:sz w:val="20"/>
                <w:szCs w:val="20"/>
                <w:color w:val="auto"/>
              </w:rPr>
            </w:pPr>
            <w:r>
              <w:rPr>
                <w:rFonts w:ascii="Arial" w:cs="Arial" w:eastAsia="Arial" w:hAnsi="Arial"/>
                <w:sz w:val="14"/>
                <w:szCs w:val="14"/>
                <w:color w:val="008000"/>
                <w:w w:val="89"/>
              </w:rPr>
              <w:t>1. On February 27, 2013, the Reporting Person received a restricted share award of 2,250 Common Shares which vest on January 1, 2016.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10"/>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03/01/2013</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6"/>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6"/>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10"/>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9"/>
          </w:tcPr>
          <w:p>
            <w:pPr>
              <w:ind w:left="20"/>
              <w:spacing w:after="0"/>
              <w:rPr>
                <w:sz w:val="20"/>
                <w:szCs w:val="20"/>
                <w:color w:val="auto"/>
              </w:rPr>
            </w:pPr>
            <w:r>
              <w:rPr>
                <w:rFonts w:ascii="Arial" w:cs="Arial" w:eastAsia="Arial" w:hAnsi="Arial"/>
                <w:sz w:val="14"/>
                <w:szCs w:val="14"/>
                <w:color w:val="auto"/>
                <w:w w:val="97"/>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February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 Manning Rountree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747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2019-12-18T13:31:23Z</dcterms:created>
  <dcterms:modified xsi:type="dcterms:W3CDTF">2019-12-18T13:31:23Z</dcterms:modified>
</cp:coreProperties>
</file>