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2"/>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3"/>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2"/>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60" w:type="dxa"/>
            <w:vAlign w:val="bottom"/>
          </w:tcPr>
          <w:p>
            <w:pPr>
              <w:spacing w:after="0" w:line="20" w:lineRule="exact"/>
              <w:rPr>
                <w:sz w:val="1"/>
                <w:szCs w:val="1"/>
                <w:color w:val="auto"/>
              </w:rPr>
            </w:pPr>
          </w:p>
        </w:tc>
        <w:tc>
          <w:tcPr>
            <w:tcW w:w="5600" w:type="dxa"/>
            <w:vAlign w:val="bottom"/>
            <w:gridSpan w:val="8"/>
            <w:vMerge w:val="restart"/>
          </w:tcPr>
          <w:p>
            <w:pPr>
              <w:jc w:val="center"/>
              <w:ind w:left="1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5600" w:type="dxa"/>
            <w:vAlign w:val="bottom"/>
            <w:gridSpan w:val="8"/>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2"/>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60" w:type="dxa"/>
            <w:vAlign w:val="bottom"/>
          </w:tcPr>
          <w:p>
            <w:pPr>
              <w:spacing w:after="0"/>
              <w:rPr>
                <w:sz w:val="5"/>
                <w:szCs w:val="5"/>
                <w:color w:val="auto"/>
              </w:rPr>
            </w:pPr>
          </w:p>
        </w:tc>
        <w:tc>
          <w:tcPr>
            <w:tcW w:w="5600" w:type="dxa"/>
            <w:vAlign w:val="bottom"/>
            <w:gridSpan w:val="8"/>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5020" w:type="dxa"/>
            <w:vAlign w:val="bottom"/>
            <w:gridSpan w:val="6"/>
            <w:vMerge w:val="restart"/>
          </w:tcPr>
          <w:p>
            <w:pPr>
              <w:jc w:val="center"/>
              <w:ind w:left="59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20" w:type="dxa"/>
            <w:vAlign w:val="bottom"/>
            <w:gridSpan w:val="6"/>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60" w:type="dxa"/>
            <w:vAlign w:val="bottom"/>
          </w:tcPr>
          <w:p>
            <w:pPr>
              <w:spacing w:after="0"/>
              <w:rPr>
                <w:sz w:val="21"/>
                <w:szCs w:val="21"/>
                <w:color w:val="auto"/>
              </w:rPr>
            </w:pPr>
          </w:p>
        </w:tc>
        <w:tc>
          <w:tcPr>
            <w:tcW w:w="5020" w:type="dxa"/>
            <w:vAlign w:val="bottom"/>
            <w:gridSpan w:val="6"/>
            <w:vMerge w:val="continue"/>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4"/>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40" w:type="dxa"/>
            <w:vAlign w:val="bottom"/>
            <w:gridSpan w:val="3"/>
            <w:vMerge w:val="restart"/>
          </w:tcPr>
          <w:p>
            <w:pPr>
              <w:spacing w:after="0" w:line="250" w:lineRule="exact"/>
              <w:rPr>
                <w:rFonts w:ascii="Arial" w:cs="Arial" w:eastAsia="Arial" w:hAnsi="Arial"/>
                <w:sz w:val="22"/>
                <w:szCs w:val="22"/>
                <w:color w:val="0000EE"/>
                <w:w w:val="94"/>
              </w:rPr>
            </w:pPr>
            <w:hyperlink r:id="rId8">
              <w:r>
                <w:rPr>
                  <w:rFonts w:ascii="Arial" w:cs="Arial" w:eastAsia="Arial" w:hAnsi="Arial"/>
                  <w:sz w:val="22"/>
                  <w:szCs w:val="22"/>
                  <w:color w:val="0000EE"/>
                  <w:w w:val="94"/>
                </w:rPr>
                <w:t>CHOKEL CHARLES BERGEN</w:t>
              </w:r>
            </w:hyperlink>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218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1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3"/>
            <w:vMerge w:val="continue"/>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0000EE"/>
            </w:tcBorders>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gridSpan w:val="3"/>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 w:type="dxa"/>
            <w:vAlign w:val="bottom"/>
          </w:tcPr>
          <w:p>
            <w:pPr>
              <w:spacing w:after="0"/>
              <w:rPr>
                <w:sz w:val="8"/>
                <w:szCs w:val="8"/>
                <w:color w:val="auto"/>
              </w:rPr>
            </w:pPr>
          </w:p>
        </w:tc>
        <w:tc>
          <w:tcPr>
            <w:tcW w:w="1600" w:type="dxa"/>
            <w:vAlign w:val="bottom"/>
            <w:gridSpan w:val="3"/>
            <w:vMerge w:val="restart"/>
          </w:tcPr>
          <w:p>
            <w:pPr>
              <w:ind w:left="40"/>
              <w:spacing w:after="0" w:line="155" w:lineRule="exact"/>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line="155"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top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EEEEEE"/>
            </w:tcBorders>
          </w:tcPr>
          <w:p>
            <w:pPr>
              <w:spacing w:after="0"/>
              <w:rPr>
                <w:sz w:val="10"/>
                <w:szCs w:val="10"/>
                <w:color w:val="auto"/>
              </w:rPr>
            </w:pPr>
          </w:p>
        </w:tc>
        <w:tc>
          <w:tcPr>
            <w:tcW w:w="1180" w:type="dxa"/>
            <w:vAlign w:val="bottom"/>
            <w:tcBorders>
              <w:top w:val="single" w:sz="8" w:color="EEEEEE"/>
            </w:tcBorders>
          </w:tcPr>
          <w:p>
            <w:pPr>
              <w:spacing w:after="0"/>
              <w:rPr>
                <w:sz w:val="10"/>
                <w:szCs w:val="10"/>
                <w:color w:val="auto"/>
              </w:rPr>
            </w:pPr>
          </w:p>
        </w:tc>
        <w:tc>
          <w:tcPr>
            <w:tcW w:w="460" w:type="dxa"/>
            <w:vAlign w:val="bottom"/>
            <w:tcBorders>
              <w:top w:val="single" w:sz="8" w:color="EEEEEE"/>
            </w:tcBorders>
          </w:tcPr>
          <w:p>
            <w:pPr>
              <w:spacing w:after="0"/>
              <w:rPr>
                <w:sz w:val="10"/>
                <w:szCs w:val="10"/>
                <w:color w:val="auto"/>
              </w:rPr>
            </w:pPr>
          </w:p>
        </w:tc>
        <w:tc>
          <w:tcPr>
            <w:tcW w:w="9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180" w:type="dxa"/>
            <w:vAlign w:val="bottom"/>
            <w:vMerge w:val="restart"/>
          </w:tcPr>
          <w:p>
            <w:pPr>
              <w:ind w:left="80"/>
              <w:spacing w:after="0" w:line="104" w:lineRule="exact"/>
              <w:rPr>
                <w:sz w:val="20"/>
                <w:szCs w:val="20"/>
                <w:color w:val="auto"/>
              </w:rPr>
            </w:pPr>
            <w:r>
              <w:rPr>
                <w:rFonts w:ascii="Arial" w:cs="Arial" w:eastAsia="Arial" w:hAnsi="Arial"/>
                <w:sz w:val="12"/>
                <w:szCs w:val="12"/>
                <w:color w:val="auto"/>
              </w:rPr>
              <w:t>(First)</w:t>
            </w:r>
          </w:p>
        </w:tc>
        <w:tc>
          <w:tcPr>
            <w:tcW w:w="1420" w:type="dxa"/>
            <w:vAlign w:val="bottom"/>
            <w:gridSpan w:val="2"/>
            <w:vMerge w:val="restart"/>
          </w:tcPr>
          <w:p>
            <w:pPr>
              <w:ind w:left="16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640" w:type="dxa"/>
            <w:vAlign w:val="bottom"/>
            <w:gridSpan w:val="5"/>
            <w:vMerge w:val="restart"/>
          </w:tcPr>
          <w:p>
            <w:pPr>
              <w:ind w:left="40"/>
              <w:spacing w:after="0"/>
              <w:rPr>
                <w:sz w:val="20"/>
                <w:szCs w:val="20"/>
                <w:color w:val="auto"/>
              </w:rPr>
            </w:pPr>
            <w:r>
              <w:rPr>
                <w:rFonts w:ascii="Arial" w:cs="Arial" w:eastAsia="Arial" w:hAnsi="Arial"/>
                <w:sz w:val="18"/>
                <w:szCs w:val="18"/>
                <w:color w:val="0000FF"/>
                <w:w w:val="98"/>
              </w:rPr>
              <w:t>Managing Director, WM Advisors</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5"/>
              </w:rPr>
              <w:t>C/O WHITE MOUNTAINS INSURANCE GROUP,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46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8"/>
                <w:szCs w:val="18"/>
                <w:color w:val="0000FF"/>
              </w:rPr>
              <w:t>12/31/2003</w:t>
            </w: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LTD</w:t>
            </w: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2"/>
            <w:vMerge w:val="restart"/>
          </w:tcPr>
          <w:p>
            <w:pPr>
              <w:spacing w:after="0"/>
              <w:rPr>
                <w:sz w:val="20"/>
                <w:szCs w:val="20"/>
                <w:color w:val="auto"/>
              </w:rPr>
            </w:pPr>
            <w:r>
              <w:rPr>
                <w:rFonts w:ascii="Arial" w:cs="Arial" w:eastAsia="Arial" w:hAnsi="Arial"/>
                <w:sz w:val="18"/>
                <w:szCs w:val="18"/>
                <w:color w:val="0000FF"/>
              </w:rPr>
              <w:t>80 SOUTH MAIN STREET</w:t>
            </w: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jc w:val="center"/>
              <w:ind w:right="480"/>
              <w:spacing w:after="0"/>
              <w:rPr>
                <w:sz w:val="20"/>
                <w:szCs w:val="20"/>
                <w:color w:val="auto"/>
              </w:rPr>
            </w:pPr>
            <w:r>
              <w:rPr>
                <w:rFonts w:ascii="Arial" w:cs="Arial" w:eastAsia="Arial" w:hAnsi="Arial"/>
                <w:sz w:val="14"/>
                <w:szCs w:val="14"/>
                <w:color w:val="auto"/>
                <w:w w:val="95"/>
              </w:rPr>
              <w:t>4. If Amendment, Date of Original Filed (Month/Day/Year)</w:t>
            </w:r>
          </w:p>
        </w:tc>
        <w:tc>
          <w:tcPr>
            <w:tcW w:w="338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-2146935</wp:posOffset>
            </wp:positionV>
            <wp:extent cx="7272020" cy="5882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588264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42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2"/>
                <w:szCs w:val="12"/>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36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6"/>
                <w:szCs w:val="6"/>
                <w:color w:val="auto"/>
              </w:rPr>
            </w:pP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7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0"/>
              </w:rPr>
              <w:t>08/08/1988</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ind w:left="520"/>
              <w:spacing w:after="0"/>
              <w:rPr>
                <w:sz w:val="20"/>
                <w:szCs w:val="20"/>
                <w:color w:val="auto"/>
              </w:rPr>
            </w:pPr>
            <w:r>
              <w:rPr>
                <w:rFonts w:ascii="Arial" w:cs="Arial" w:eastAsia="Arial" w:hAnsi="Arial"/>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9"/>
              </w:rPr>
              <w:t>A</w:t>
            </w:r>
          </w:p>
        </w:tc>
        <w:tc>
          <w:tcPr>
            <w:tcW w:w="3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263</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277</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3"/>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gridSpan w:val="9"/>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1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 or</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WTM Common Shares acquired by the Reporting Person under the OneBeacon Insurance Group 401(k) Plan since January 1, 2003, the date of Reporting Person's last filing. WTM Common Shares were purchased at fair market value on the dates of purchase. The information contained in this report is based on a plan statement dated as of December 31, 2003.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Dennis Beaulieu, by Power of</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02/10/2004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31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Dennis P. Beaulieu, Secretary, and Robert L. Seelig, General Counsel of White Mountains Insurance Group, Ltd., singly, the undersigned's true and lawful attorney-in-fact to:</w:t>
      </w:r>
    </w:p>
    <w:p>
      <w:pPr>
        <w:spacing w:after="0" w:line="7"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7th day of January,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Charles B. Chokel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1385"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2019-12-17T11:25:20Z</dcterms:created>
  <dcterms:modified xsi:type="dcterms:W3CDTF">2019-12-17T11:25:20Z</dcterms:modified>
</cp:coreProperties>
</file>