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Bazos Frank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02/27/2020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83"/>
        <w:spacing w:after="0"/>
        <w:rPr>
          <w:sz w:val="20"/>
          <w:szCs w:val="20"/>
          <w:color w:val="auto"/>
        </w:rPr>
      </w:pPr>
      <w:r>
        <w:rPr>
          <w:rFonts w:ascii="Arial" w:cs="Arial" w:eastAsia="Arial" w:hAnsi="Arial"/>
          <w:sz w:val="18"/>
          <w:szCs w:val="18"/>
          <w:color w:val="0000FF"/>
        </w:rPr>
        <w:t>EVP and Head of M&amp;A</w:t>
      </w:r>
    </w:p>
    <w:p>
      <w:pPr>
        <w:spacing w:after="0" w:line="41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02/27/2020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1,700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3,600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February 27, 2020, the Reporting Person received a restricted share award of 1,700 Common Shares, which vests on January 1, 2023.</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300" w:val="left"/>
          <w:tab w:leader="none" w:pos="2840" w:val="left"/>
        </w:tabs>
        <w:rPr>
          <w:sz w:val="20"/>
          <w:szCs w:val="20"/>
          <w:color w:val="auto"/>
        </w:rPr>
      </w:pPr>
      <w:r>
        <w:rPr>
          <w:rFonts w:ascii="Courier New" w:cs="Courier New" w:eastAsia="Courier New" w:hAnsi="Courier New"/>
          <w:sz w:val="18"/>
          <w:szCs w:val="18"/>
          <w:color w:val="auto"/>
        </w:rPr>
        <w:t>Date: May 2, 2019</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Frank Bazos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588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2020-03-02T15:19:29Z</dcterms:created>
  <dcterms:modified xsi:type="dcterms:W3CDTF">2020-03-02T15:19:29Z</dcterms:modified>
</cp:coreProperties>
</file>