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1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187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HOWARD LONGSTRETH JR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49"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05/23/2013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0"/>
        <w:spacing w:after="0"/>
        <w:tabs>
          <w:tab w:leader="none" w:pos="529" w:val="left"/>
          <w:tab w:leader="none" w:pos="214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0"/>
          <w:szCs w:val="20"/>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0"/>
        <w:spacing w:after="0"/>
        <w:tabs>
          <w:tab w:leader="none" w:pos="214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5" w:lineRule="exact"/>
        <w:rPr>
          <w:sz w:val="20"/>
          <w:szCs w:val="20"/>
          <w:color w:val="auto"/>
        </w:rPr>
      </w:pPr>
    </w:p>
    <w:p>
      <w:pPr>
        <w:sectPr>
          <w:pgSz w:w="11900" w:h="16838" w:orient="portrait"/>
          <w:cols w:equalWidth="0" w:num="3">
            <w:col w:w="3760" w:space="300"/>
            <w:col w:w="3280" w:space="710"/>
            <w:col w:w="3470"/>
          </w:cols>
          <w:pgMar w:left="240" w:top="224" w:right="13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05/23/2013</w:t>
            </w: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60"/>
              <w:spacing w:after="0" w:line="318" w:lineRule="exact"/>
              <w:rPr>
                <w:sz w:val="20"/>
                <w:szCs w:val="20"/>
                <w:color w:val="auto"/>
              </w:rPr>
            </w:pPr>
            <w:r>
              <w:rPr>
                <w:rFonts w:ascii="Arial" w:cs="Arial" w:eastAsia="Arial" w:hAnsi="Arial"/>
                <w:sz w:val="34"/>
                <w:szCs w:val="34"/>
                <w:color w:val="0000FF"/>
                <w:w w:val="81"/>
                <w:vertAlign w:val="subscript"/>
              </w:rPr>
              <w:t>200</w:t>
            </w:r>
            <w:r>
              <w:rPr>
                <w:rFonts w:ascii="Arial" w:cs="Arial" w:eastAsia="Arial" w:hAnsi="Arial"/>
                <w:sz w:val="11"/>
                <w:szCs w:val="11"/>
                <w:color w:val="008000"/>
                <w:w w:val="81"/>
              </w:rPr>
              <w:t>(1)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1,170</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vMerge w:val="restart"/>
          </w:tcPr>
          <w:p>
            <w:pPr>
              <w:ind w:left="320"/>
              <w:spacing w:after="0"/>
              <w:rPr>
                <w:sz w:val="20"/>
                <w:szCs w:val="20"/>
                <w:color w:val="auto"/>
              </w:rPr>
            </w:pPr>
            <w:r>
              <w:rPr>
                <w:rFonts w:ascii="Arial" w:cs="Arial" w:eastAsia="Arial" w:hAnsi="Arial"/>
                <w:sz w:val="13"/>
                <w:szCs w:val="13"/>
                <w:color w:val="0000FF"/>
              </w:rPr>
              <w:t>204</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Director Share Award.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Phantom Shares are held in the Reporting Person's WTM deferred compensation account and are payable in cash at such time as the Reporting Person ceases to be a director of the Company.</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Jason R. Lichtenstein</w:t>
            </w:r>
          </w:p>
        </w:tc>
        <w:tc>
          <w:tcPr>
            <w:tcW w:w="780" w:type="dxa"/>
            <w:vAlign w:val="bottom"/>
          </w:tcPr>
          <w:p>
            <w:pPr>
              <w:spacing w:after="0"/>
              <w:rPr>
                <w:sz w:val="20"/>
                <w:szCs w:val="20"/>
                <w:color w:val="auto"/>
              </w:rPr>
            </w:pPr>
            <w:r>
              <w:rPr>
                <w:rFonts w:ascii="Arial" w:cs="Arial" w:eastAsia="Arial" w:hAnsi="Arial"/>
                <w:sz w:val="17"/>
                <w:szCs w:val="17"/>
                <w:color w:val="0000FF"/>
                <w:w w:val="89"/>
              </w:rPr>
              <w:t>05/28/2013</w:t>
            </w:r>
          </w:p>
        </w:tc>
      </w:tr>
      <w:tr>
        <w:trPr>
          <w:trHeight w:val="20"/>
        </w:trPr>
        <w:tc>
          <w:tcPr>
            <w:tcW w:w="1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24th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Howard L. Clark</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2019-12-18T13:37:56Z</dcterms:created>
  <dcterms:modified xsi:type="dcterms:W3CDTF">2019-12-18T13:37:56Z</dcterms:modified>
</cp:coreProperties>
</file>