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028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02869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SEELIG ROBERT LAWRENCE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60" w:type="dxa"/>
            <w:vAlign w:val="bottom"/>
            <w:vMerge w:val="restart"/>
          </w:tcPr>
          <w:p>
            <w:pPr>
              <w:ind w:left="16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46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46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60" w:type="dxa"/>
            <w:vAlign w:val="bottom"/>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4"/>
        </w:trPr>
        <w:tc>
          <w:tcPr>
            <w:tcW w:w="8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460" w:type="dxa"/>
            <w:vAlign w:val="bottom"/>
            <w:vMerge w:val="restart"/>
          </w:tcPr>
          <w:p>
            <w:pPr>
              <w:ind w:left="16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60" w:type="dxa"/>
            <w:vAlign w:val="bottom"/>
          </w:tcPr>
          <w:p>
            <w:pPr>
              <w:spacing w:after="0"/>
              <w:rPr>
                <w:sz w:val="5"/>
                <w:szCs w:val="5"/>
                <w:color w:val="auto"/>
              </w:rPr>
            </w:pPr>
          </w:p>
        </w:tc>
        <w:tc>
          <w:tcPr>
            <w:tcW w:w="2960" w:type="dxa"/>
            <w:vAlign w:val="bottom"/>
            <w:gridSpan w:val="2"/>
            <w:vMerge w:val="restart"/>
          </w:tcPr>
          <w:p>
            <w:pPr>
              <w:ind w:left="60"/>
              <w:spacing w:after="0"/>
              <w:rPr>
                <w:sz w:val="20"/>
                <w:szCs w:val="20"/>
                <w:color w:val="auto"/>
              </w:rPr>
            </w:pPr>
            <w:r>
              <w:rPr>
                <w:rFonts w:ascii="Arial" w:cs="Arial" w:eastAsia="Arial" w:hAnsi="Arial"/>
                <w:sz w:val="18"/>
                <w:szCs w:val="18"/>
                <w:color w:val="0000FF"/>
              </w:rPr>
              <w:t>Managing Dir &amp; General Counsel</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460" w:type="dxa"/>
            <w:vAlign w:val="bottom"/>
          </w:tcPr>
          <w:p>
            <w:pPr>
              <w:spacing w:after="0"/>
              <w:rPr>
                <w:sz w:val="16"/>
                <w:szCs w:val="16"/>
                <w:color w:val="auto"/>
              </w:rPr>
            </w:pPr>
          </w:p>
        </w:tc>
        <w:tc>
          <w:tcPr>
            <w:tcW w:w="2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12/31/2012</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2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42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4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rPr>
              <w:t>12/31/2012</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95"/>
              </w:rPr>
              <w:t>500</w:t>
            </w:r>
            <w:r>
              <w:rPr>
                <w:rFonts w:ascii="Arial" w:cs="Arial" w:eastAsia="Arial" w:hAnsi="Arial"/>
                <w:sz w:val="22"/>
                <w:szCs w:val="22"/>
                <w:color w:val="008000"/>
                <w:w w:val="95"/>
                <w:vertAlign w:val="superscript"/>
              </w:rPr>
              <w:t>(1)</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512.26</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10,120</w:t>
            </w:r>
          </w:p>
        </w:tc>
        <w:tc>
          <w:tcPr>
            <w:tcW w:w="940" w:type="dxa"/>
            <w:vAlign w:val="bottom"/>
            <w:tcBorders>
              <w:bottom w:val="single" w:sz="8" w:color="2C2C2C"/>
            </w:tcBorders>
          </w:tcPr>
          <w:p>
            <w:pPr>
              <w:jc w:val="center"/>
              <w:ind w:right="31"/>
              <w:spacing w:after="0"/>
              <w:rPr>
                <w:sz w:val="20"/>
                <w:szCs w:val="20"/>
                <w:color w:val="auto"/>
              </w:rPr>
            </w:pPr>
            <w:r>
              <w:rPr>
                <w:rFonts w:ascii="Arial" w:cs="Arial" w:eastAsia="Arial" w:hAnsi="Arial"/>
                <w:sz w:val="18"/>
                <w:szCs w:val="18"/>
                <w:color w:val="0000FF"/>
                <w:w w:val="91"/>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jc w:val="center"/>
              <w:ind w:right="372"/>
              <w:spacing w:after="0"/>
              <w:rPr>
                <w:sz w:val="20"/>
                <w:szCs w:val="20"/>
                <w:color w:val="auto"/>
              </w:rPr>
            </w:pPr>
            <w:r>
              <w:rPr>
                <w:rFonts w:ascii="Arial" w:cs="Arial" w:eastAsia="Arial" w:hAnsi="Arial"/>
                <w:sz w:val="18"/>
                <w:szCs w:val="18"/>
                <w:color w:val="0000FF"/>
                <w:w w:val="88"/>
              </w:rPr>
              <w:t>5,050</w:t>
            </w:r>
          </w:p>
        </w:tc>
        <w:tc>
          <w:tcPr>
            <w:tcW w:w="940" w:type="dxa"/>
            <w:vAlign w:val="bottom"/>
          </w:tcPr>
          <w:p>
            <w:pPr>
              <w:jc w:val="center"/>
              <w:ind w:right="31"/>
              <w:spacing w:after="0"/>
              <w:rPr>
                <w:sz w:val="20"/>
                <w:szCs w:val="20"/>
                <w:color w:val="auto"/>
              </w:rPr>
            </w:pPr>
            <w:r>
              <w:rPr>
                <w:rFonts w:ascii="Arial" w:cs="Arial" w:eastAsia="Arial" w:hAnsi="Arial"/>
                <w:sz w:val="18"/>
                <w:szCs w:val="18"/>
                <w:color w:val="0000FF"/>
                <w:w w:val="91"/>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by wife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vMerge w:val="restart"/>
          </w:tcPr>
          <w:p>
            <w:pPr>
              <w:jc w:val="center"/>
              <w:ind w:right="372"/>
              <w:spacing w:after="0"/>
              <w:rPr>
                <w:sz w:val="20"/>
                <w:szCs w:val="20"/>
                <w:color w:val="auto"/>
              </w:rPr>
            </w:pPr>
            <w:r>
              <w:rPr>
                <w:rFonts w:ascii="Arial" w:cs="Arial" w:eastAsia="Arial" w:hAnsi="Arial"/>
                <w:sz w:val="18"/>
                <w:szCs w:val="18"/>
                <w:color w:val="0000FF"/>
                <w:w w:val="79"/>
              </w:rPr>
              <w:t>5</w:t>
            </w:r>
          </w:p>
        </w:tc>
        <w:tc>
          <w:tcPr>
            <w:tcW w:w="940" w:type="dxa"/>
            <w:vAlign w:val="bottom"/>
            <w:vMerge w:val="restart"/>
          </w:tcPr>
          <w:p>
            <w:pPr>
              <w:jc w:val="center"/>
              <w:ind w:right="11"/>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and</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3"/>
              </w:rPr>
              <w:t>dependent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children</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72"/>
              <w:spacing w:after="0"/>
              <w:rPr>
                <w:sz w:val="20"/>
                <w:szCs w:val="20"/>
                <w:color w:val="auto"/>
              </w:rPr>
            </w:pPr>
            <w:r>
              <w:rPr>
                <w:rFonts w:ascii="Arial" w:cs="Arial" w:eastAsia="Arial" w:hAnsi="Arial"/>
                <w:sz w:val="18"/>
                <w:szCs w:val="18"/>
                <w:color w:val="0000FF"/>
                <w:w w:val="83"/>
              </w:rPr>
              <w:t>501</w:t>
            </w:r>
            <w:r>
              <w:rPr>
                <w:rFonts w:ascii="Arial" w:cs="Arial" w:eastAsia="Arial" w:hAnsi="Arial"/>
                <w:sz w:val="22"/>
                <w:szCs w:val="22"/>
                <w:color w:val="008000"/>
                <w:w w:val="83"/>
                <w:vertAlign w:val="superscript"/>
              </w:rPr>
              <w:t>(2)</w:t>
            </w:r>
          </w:p>
        </w:tc>
        <w:tc>
          <w:tcPr>
            <w:tcW w:w="940" w:type="dxa"/>
            <w:vAlign w:val="bottom"/>
            <w:tcBorders>
              <w:bottom w:val="single" w:sz="8" w:color="2C2C2C"/>
            </w:tcBorders>
          </w:tcPr>
          <w:p>
            <w:pPr>
              <w:jc w:val="center"/>
              <w:ind w:right="11"/>
              <w:spacing w:after="0"/>
              <w:rPr>
                <w:sz w:val="20"/>
                <w:szCs w:val="20"/>
                <w:color w:val="auto"/>
              </w:rPr>
            </w:pPr>
            <w:r>
              <w:rPr>
                <w:rFonts w:ascii="Arial" w:cs="Arial" w:eastAsia="Arial" w:hAnsi="Arial"/>
                <w:sz w:val="18"/>
                <w:szCs w:val="18"/>
                <w:color w:val="0000FF"/>
              </w:rPr>
              <w:t>I</w:t>
            </w:r>
          </w:p>
        </w:tc>
        <w:tc>
          <w:tcPr>
            <w:tcW w:w="84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rPr>
              <w:t>By 401(k)</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178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payment of tax liability incident to the vesting of restricted shares by withholding of securities.</w:t>
      </w:r>
    </w:p>
    <w:p>
      <w:pPr>
        <w:spacing w:after="0" w:line="41" w:lineRule="exact"/>
        <w:rPr>
          <w:rFonts w:ascii="Arial" w:cs="Arial" w:eastAsia="Arial" w:hAnsi="Arial"/>
          <w:sz w:val="14"/>
          <w:szCs w:val="14"/>
          <w:color w:val="008000"/>
        </w:rPr>
      </w:pPr>
    </w:p>
    <w:p>
      <w:pPr>
        <w:ind w:left="40" w:right="5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accumulation of 46 WTM Common Shares in Reporting Person's Company 401(k) account since his last filed report. WTM Common Shares are purchased at fair market value on the date of purchase. The information in this report is based on a plan statement dated as of December 31, 2012.</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Jason R. Lichtenstein, by</w:t>
            </w:r>
          </w:p>
        </w:tc>
        <w:tc>
          <w:tcPr>
            <w:tcW w:w="3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01/02/2013</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19th day of June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Robert L. Seelig</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8198"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2019-12-18T13:36:04Z</dcterms:created>
  <dcterms:modified xsi:type="dcterms:W3CDTF">2019-12-18T13:36:04Z</dcterms:modified>
</cp:coreProperties>
</file>