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2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263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03/11/2009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ind w:right="259"/>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right"/>
              <w:ind w:right="259"/>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780" w:type="dxa"/>
            <w:vAlign w:val="bottom"/>
            <w:gridSpan w:val="2"/>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03/11/2009</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P</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77"/>
              </w:rPr>
              <w:t>500</w:t>
            </w:r>
            <w:r>
              <w:rPr>
                <w:rFonts w:ascii="Arial" w:cs="Arial" w:eastAsia="Arial" w:hAnsi="Arial"/>
                <w:sz w:val="22"/>
                <w:szCs w:val="22"/>
                <w:color w:val="008000"/>
                <w:w w:val="77"/>
                <w:vertAlign w:val="superscript"/>
              </w:rPr>
              <w:t>(1)</w:t>
            </w:r>
          </w:p>
        </w:tc>
        <w:tc>
          <w:tcPr>
            <w:tcW w:w="5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154</w:t>
            </w:r>
          </w:p>
        </w:tc>
        <w:tc>
          <w:tcPr>
            <w:tcW w:w="1360" w:type="dxa"/>
            <w:vAlign w:val="bottom"/>
            <w:tcBorders>
              <w:bottom w:val="single" w:sz="8" w:color="2C2C2C"/>
            </w:tcBorders>
            <w:gridSpan w:val="3"/>
          </w:tcPr>
          <w:p>
            <w:pPr>
              <w:jc w:val="center"/>
              <w:ind w:left="3"/>
              <w:spacing w:after="0"/>
              <w:rPr>
                <w:sz w:val="20"/>
                <w:szCs w:val="20"/>
                <w:color w:val="auto"/>
              </w:rPr>
            </w:pPr>
            <w:r>
              <w:rPr>
                <w:rFonts w:ascii="Arial" w:cs="Arial" w:eastAsia="Arial" w:hAnsi="Arial"/>
                <w:sz w:val="17"/>
                <w:szCs w:val="17"/>
                <w:color w:val="0000FF"/>
                <w:w w:val="92"/>
              </w:rPr>
              <w:t>26,295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ind w:left="3"/>
              <w:spacing w:after="0"/>
              <w:rPr>
                <w:sz w:val="20"/>
                <w:szCs w:val="20"/>
                <w:color w:val="auto"/>
              </w:rPr>
            </w:pPr>
            <w:r>
              <w:rPr>
                <w:rFonts w:ascii="Arial" w:cs="Arial" w:eastAsia="Arial" w:hAnsi="Arial"/>
                <w:sz w:val="17"/>
                <w:szCs w:val="17"/>
                <w:color w:val="0000FF"/>
                <w:w w:val="92"/>
              </w:rPr>
              <w:t>36,000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vMerge w:val="restart"/>
          </w:tcPr>
          <w:p>
            <w:pPr>
              <w:jc w:val="center"/>
              <w:ind w:right="497"/>
              <w:spacing w:after="0"/>
              <w:rPr>
                <w:sz w:val="20"/>
                <w:szCs w:val="20"/>
                <w:color w:val="auto"/>
              </w:rPr>
            </w:pPr>
            <w:r>
              <w:rPr>
                <w:rFonts w:ascii="Arial" w:cs="Arial" w:eastAsia="Arial" w:hAnsi="Arial"/>
                <w:sz w:val="17"/>
                <w:szCs w:val="17"/>
                <w:color w:val="0000FF"/>
                <w:w w:val="94"/>
              </w:rPr>
              <w:t>85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ind w:left="3"/>
              <w:spacing w:after="0"/>
              <w:rPr>
                <w:sz w:val="20"/>
                <w:szCs w:val="20"/>
                <w:color w:val="auto"/>
              </w:rPr>
            </w:pPr>
            <w:r>
              <w:rPr>
                <w:rFonts w:ascii="Arial" w:cs="Arial" w:eastAsia="Arial" w:hAnsi="Arial"/>
                <w:sz w:val="17"/>
                <w:szCs w:val="17"/>
                <w:color w:val="0000FF"/>
                <w:w w:val="92"/>
              </w:rPr>
              <w:t>11,615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left="3"/>
              <w:spacing w:after="0"/>
              <w:rPr>
                <w:sz w:val="20"/>
                <w:szCs w:val="20"/>
                <w:color w:val="auto"/>
              </w:rPr>
            </w:pPr>
            <w:r>
              <w:rPr>
                <w:rFonts w:ascii="Arial" w:cs="Arial" w:eastAsia="Arial" w:hAnsi="Arial"/>
                <w:sz w:val="17"/>
                <w:szCs w:val="17"/>
                <w:color w:val="0000FF"/>
                <w:w w:val="92"/>
              </w:rPr>
              <w:t>24,000</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4,230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112</w:t>
            </w:r>
            <w:r>
              <w:rPr>
                <w:rFonts w:ascii="Arial" w:cs="Arial" w:eastAsia="Arial" w:hAnsi="Arial"/>
                <w:sz w:val="22"/>
                <w:szCs w:val="22"/>
                <w:color w:val="008000"/>
                <w:w w:val="82"/>
                <w:vertAlign w:val="superscript"/>
              </w:rPr>
              <w:t>(2)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4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3"/>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restart"/>
          </w:tcPr>
          <w:p>
            <w:pPr>
              <w:jc w:val="right"/>
              <w:ind w:right="259"/>
              <w:spacing w:after="0"/>
              <w:rPr>
                <w:sz w:val="20"/>
                <w:szCs w:val="20"/>
                <w:color w:val="auto"/>
              </w:rPr>
            </w:pPr>
            <w:r>
              <w:rPr>
                <w:rFonts w:ascii="Arial" w:cs="Arial" w:eastAsia="Arial" w:hAnsi="Arial"/>
                <w:sz w:val="11"/>
                <w:szCs w:val="11"/>
                <w:color w:val="008000"/>
                <w:w w:val="88"/>
              </w:rPr>
              <w:t>(4)</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200,000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3"/>
                <w:szCs w:val="13"/>
                <w:color w:val="0000FF"/>
              </w:rPr>
              <w:t>01/19/2014</w:t>
            </w:r>
          </w:p>
        </w:tc>
        <w:tc>
          <w:tcPr>
            <w:tcW w:w="6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320"/>
              <w:spacing w:after="0" w:line="132" w:lineRule="exact"/>
              <w:rPr>
                <w:sz w:val="20"/>
                <w:szCs w:val="20"/>
                <w:color w:val="auto"/>
              </w:rPr>
            </w:pPr>
            <w:r>
              <w:rPr>
                <w:rFonts w:ascii="Arial" w:cs="Arial" w:eastAsia="Arial" w:hAnsi="Arial"/>
                <w:sz w:val="13"/>
                <w:szCs w:val="13"/>
                <w:color w:val="0000FF"/>
              </w:rPr>
              <w:t>200,000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Reporting Person's last filing, Reporting Person acquired 26 shares of WTM Common Shares under his 401(k) Plan. WTM Common Shares are purchased at fair market value on the date of purchase. The information in this report is based on a plan statement dated as of March 10, 2009.</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03/12/2009</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5"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2019-12-18T13:21:15Z</dcterms:created>
  <dcterms:modified xsi:type="dcterms:W3CDTF">2019-12-18T13:21:15Z</dcterms:modified>
</cp:coreProperties>
</file>