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WATERS ALLAN LEWIS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1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02/24/2010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1063"/>
        <w:spacing w:after="0"/>
        <w:rPr>
          <w:sz w:val="20"/>
          <w:szCs w:val="20"/>
          <w:color w:val="auto"/>
        </w:rPr>
      </w:pPr>
      <w:r>
        <w:rPr>
          <w:rFonts w:ascii="Arial" w:cs="Arial" w:eastAsia="Arial" w:hAnsi="Arial"/>
          <w:sz w:val="18"/>
          <w:szCs w:val="18"/>
          <w:color w:val="0000FF"/>
        </w:rPr>
        <w:t>CEO - WTM Re</w:t>
      </w:r>
    </w:p>
    <w:p>
      <w:pPr>
        <w:spacing w:after="0" w:line="54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spacing w:after="0" w:line="31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55"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8"/>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02/24/2010</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rPr>
              <w:t>1,225</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420"/>
              <w:spacing w:after="0"/>
              <w:rPr>
                <w:sz w:val="20"/>
                <w:szCs w:val="20"/>
                <w:color w:val="auto"/>
              </w:rPr>
            </w:pPr>
            <w:r>
              <w:rPr>
                <w:rFonts w:ascii="Arial" w:cs="Arial" w:eastAsia="Arial" w:hAnsi="Arial"/>
                <w:sz w:val="18"/>
                <w:szCs w:val="18"/>
                <w:color w:val="0000FF"/>
                <w:w w:val="88"/>
              </w:rPr>
              <w:t>2,425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8"/>
                <w:szCs w:val="18"/>
                <w:color w:val="0000FF"/>
                <w:w w:val="88"/>
              </w:rPr>
              <w:t>3,172</w:t>
            </w:r>
          </w:p>
        </w:tc>
        <w:tc>
          <w:tcPr>
            <w:tcW w:w="260" w:type="dxa"/>
            <w:vAlign w:val="bottom"/>
          </w:tcPr>
          <w:p>
            <w:pPr>
              <w:spacing w:after="0"/>
              <w:rPr>
                <w:sz w:val="23"/>
                <w:szCs w:val="23"/>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center"/>
              <w:ind w:right="440"/>
              <w:spacing w:after="0"/>
              <w:rPr>
                <w:sz w:val="20"/>
                <w:szCs w:val="20"/>
                <w:color w:val="auto"/>
              </w:rPr>
            </w:pPr>
            <w:r>
              <w:rPr>
                <w:rFonts w:ascii="Arial" w:cs="Arial" w:eastAsia="Arial" w:hAnsi="Arial"/>
                <w:sz w:val="18"/>
                <w:szCs w:val="18"/>
                <w:color w:val="0000FF"/>
                <w:w w:val="86"/>
              </w:rPr>
              <w:t>600</w:t>
            </w:r>
          </w:p>
        </w:tc>
        <w:tc>
          <w:tcPr>
            <w:tcW w:w="260" w:type="dxa"/>
            <w:vAlign w:val="bottom"/>
          </w:tcPr>
          <w:p>
            <w:pPr>
              <w:spacing w:after="0"/>
              <w:rPr>
                <w:sz w:val="23"/>
                <w:szCs w:val="23"/>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gridSpan w:val="2"/>
            <w:vMerge w:val="restart"/>
          </w:tcPr>
          <w:p>
            <w:pPr>
              <w:jc w:val="center"/>
              <w:ind w:right="440"/>
              <w:spacing w:after="0"/>
              <w:rPr>
                <w:sz w:val="20"/>
                <w:szCs w:val="20"/>
                <w:color w:val="auto"/>
              </w:rPr>
            </w:pPr>
            <w:r>
              <w:rPr>
                <w:rFonts w:ascii="Arial" w:cs="Arial" w:eastAsia="Arial" w:hAnsi="Arial"/>
                <w:sz w:val="18"/>
                <w:szCs w:val="18"/>
                <w:color w:val="0000FF"/>
                <w:w w:val="86"/>
              </w:rPr>
              <w:t>120</w:t>
            </w:r>
          </w:p>
        </w:tc>
        <w:tc>
          <w:tcPr>
            <w:tcW w:w="260" w:type="dxa"/>
            <w:vAlign w:val="bottom"/>
          </w:tcPr>
          <w:p>
            <w:pPr>
              <w:spacing w:after="0"/>
              <w:rPr>
                <w:sz w:val="22"/>
                <w:szCs w:val="22"/>
                <w:color w:val="auto"/>
              </w:rPr>
            </w:pPr>
          </w:p>
        </w:tc>
        <w:tc>
          <w:tcPr>
            <w:tcW w:w="660" w:type="dxa"/>
            <w:vAlign w:val="bottom"/>
            <w:vMerge w:val="restart"/>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children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21"/>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5"/>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gridSpan w:val="21"/>
          </w:tcPr>
          <w:p>
            <w:pPr>
              <w:ind w:left="20"/>
              <w:spacing w:after="0"/>
              <w:rPr>
                <w:sz w:val="20"/>
                <w:szCs w:val="20"/>
                <w:color w:val="auto"/>
              </w:rPr>
            </w:pPr>
            <w:r>
              <w:rPr>
                <w:rFonts w:ascii="Arial" w:cs="Arial" w:eastAsia="Arial" w:hAnsi="Arial"/>
                <w:sz w:val="14"/>
                <w:szCs w:val="14"/>
                <w:color w:val="008000"/>
                <w:w w:val="89"/>
              </w:rPr>
              <w:t>1. On February 24, 2010, the Reporting Person received a restricted share award of 1,225 Common Shares. The restricted shares vest on December 31, 2012.</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10"/>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02/26/2010</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6"/>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6"/>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10"/>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14th day of October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Allan L. Waters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373"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2019-12-18T13:26:45Z</dcterms:created>
  <dcterms:modified xsi:type="dcterms:W3CDTF">2019-12-18T13:26:45Z</dcterms:modified>
</cp:coreProperties>
</file>