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87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HOLIDAY EDITH E</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01/09/2009</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600" w:type="dxa"/>
            <w:vAlign w:val="bottom"/>
            <w:gridSpan w:val="2"/>
          </w:tcPr>
          <w:p>
            <w:pPr>
              <w:ind w:left="700"/>
              <w:spacing w:after="0"/>
              <w:rPr>
                <w:sz w:val="20"/>
                <w:szCs w:val="20"/>
                <w:color w:val="auto"/>
              </w:rPr>
            </w:pPr>
            <w:r>
              <w:rPr>
                <w:rFonts w:ascii="Arial" w:cs="Arial" w:eastAsia="Arial" w:hAnsi="Arial"/>
                <w:sz w:val="17"/>
                <w:szCs w:val="17"/>
                <w:color w:val="0000FF"/>
              </w:rPr>
              <w:t>01/09/2009</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M</w:t>
            </w:r>
          </w:p>
        </w:tc>
        <w:tc>
          <w:tcPr>
            <w:tcW w:w="680" w:type="dxa"/>
            <w:vAlign w:val="bottom"/>
          </w:tcPr>
          <w:p>
            <w:pPr>
              <w:ind w:left="340"/>
              <w:spacing w:after="0"/>
              <w:rPr>
                <w:sz w:val="20"/>
                <w:szCs w:val="20"/>
                <w:color w:val="auto"/>
              </w:rPr>
            </w:pPr>
            <w:r>
              <w:rPr>
                <w:rFonts w:ascii="Arial" w:cs="Arial" w:eastAsia="Arial" w:hAnsi="Arial"/>
                <w:sz w:val="17"/>
                <w:szCs w:val="17"/>
                <w:color w:val="0000FF"/>
              </w:rPr>
              <w:t>202</w:t>
            </w:r>
          </w:p>
        </w:tc>
        <w:tc>
          <w:tcPr>
            <w:tcW w:w="7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78"/>
              <w:spacing w:after="0"/>
              <w:rPr>
                <w:sz w:val="20"/>
                <w:szCs w:val="20"/>
                <w:color w:val="auto"/>
              </w:rPr>
            </w:pPr>
            <w:r>
              <w:rPr>
                <w:rFonts w:ascii="Arial" w:cs="Arial" w:eastAsia="Arial" w:hAnsi="Arial"/>
                <w:sz w:val="11"/>
                <w:szCs w:val="11"/>
                <w:color w:val="008000"/>
              </w:rPr>
              <w:t>(1)</w:t>
            </w:r>
          </w:p>
        </w:tc>
        <w:tc>
          <w:tcPr>
            <w:tcW w:w="1360" w:type="dxa"/>
            <w:vAlign w:val="bottom"/>
            <w:gridSpan w:val="3"/>
          </w:tcPr>
          <w:p>
            <w:pPr>
              <w:ind w:left="580"/>
              <w:spacing w:after="0"/>
              <w:rPr>
                <w:sz w:val="20"/>
                <w:szCs w:val="20"/>
                <w:color w:val="auto"/>
              </w:rPr>
            </w:pPr>
            <w:r>
              <w:rPr>
                <w:rFonts w:ascii="Arial" w:cs="Arial" w:eastAsia="Arial" w:hAnsi="Arial"/>
                <w:sz w:val="17"/>
                <w:szCs w:val="17"/>
                <w:color w:val="0000FF"/>
              </w:rPr>
              <w:t>402</w:t>
            </w:r>
          </w:p>
        </w:tc>
        <w:tc>
          <w:tcPr>
            <w:tcW w:w="32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01/09/2009</w:t>
            </w:r>
          </w:p>
        </w:tc>
        <w:tc>
          <w:tcPr>
            <w:tcW w:w="112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780" w:type="dxa"/>
            <w:vAlign w:val="bottom"/>
            <w:vMerge w:val="restart"/>
          </w:tcPr>
          <w:p>
            <w:pPr>
              <w:ind w:left="460"/>
              <w:spacing w:after="0"/>
              <w:rPr>
                <w:sz w:val="20"/>
                <w:szCs w:val="20"/>
                <w:color w:val="auto"/>
              </w:rPr>
            </w:pPr>
            <w:r>
              <w:rPr>
                <w:rFonts w:ascii="Arial" w:cs="Arial" w:eastAsia="Arial" w:hAnsi="Arial"/>
                <w:sz w:val="13"/>
                <w:szCs w:val="13"/>
                <w:color w:val="0000FF"/>
              </w:rPr>
              <w:t>202</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98"/>
              <w:spacing w:after="0"/>
              <w:rPr>
                <w:sz w:val="20"/>
                <w:szCs w:val="20"/>
                <w:color w:val="auto"/>
              </w:rPr>
            </w:pPr>
            <w:r>
              <w:rPr>
                <w:rFonts w:ascii="Arial" w:cs="Arial" w:eastAsia="Arial" w:hAnsi="Arial"/>
                <w:sz w:val="17"/>
                <w:szCs w:val="17"/>
                <w:color w:val="0000FF"/>
              </w:rPr>
              <w:t>202</w:t>
            </w: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58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January 9, 2009, 202 of the Reporting Person's Phantom Shares were settled for an equal number of WTM Common Shares. Each Phantom Share was the economic equivalent of one WTM Common Share.</w:t>
      </w:r>
    </w:p>
    <w:p>
      <w:pPr>
        <w:spacing w:after="0" w:line="61" w:lineRule="exact"/>
        <w:rPr>
          <w:rFonts w:ascii="Arial" w:cs="Arial" w:eastAsia="Arial" w:hAnsi="Arial"/>
          <w:sz w:val="12"/>
          <w:szCs w:val="12"/>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380" w:firstLine="6"/>
        <w:spacing w:after="0" w:line="29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a previously made election in accordance with Section 409A of the federal tax code, the Reporting Person was due a distribution of her deferred compensation account balances in the first quarter of 2009. At the request of the Reporting Person, and as permitted by the Plan governing the Reporting Person's deferred compensation, the Phantom Shares were settled in Common Shares.</w:t>
      </w: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01/13/2009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13th day of January 2009.</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Edith E. Holiday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58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2019-12-18T13:31:00Z</dcterms:created>
  <dcterms:modified xsi:type="dcterms:W3CDTF">2019-12-18T13:31:00Z</dcterms:modified>
</cp:coreProperties>
</file>